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10B83">
      <w:pPr>
        <w:jc w:val="center"/>
        <w:rPr>
          <w:rFonts w:hint="default" w:eastAsia="宋体"/>
          <w:b/>
          <w:bCs/>
          <w:sz w:val="32"/>
          <w:szCs w:val="40"/>
          <w:lang w:val="en-US" w:eastAsia="zh-CN"/>
        </w:rPr>
      </w:pPr>
      <w:r>
        <w:rPr>
          <w:rFonts w:hint="eastAsia"/>
          <w:b/>
          <w:bCs/>
          <w:sz w:val="32"/>
          <w:szCs w:val="40"/>
          <w:lang w:val="en-US" w:eastAsia="zh-CN"/>
        </w:rPr>
        <w:t>在线精品课程制作项目技术</w:t>
      </w:r>
      <w:bookmarkStart w:id="0" w:name="_GoBack"/>
      <w:r>
        <w:rPr>
          <w:rFonts w:hint="eastAsia"/>
          <w:b/>
          <w:bCs/>
          <w:sz w:val="32"/>
          <w:szCs w:val="40"/>
          <w:lang w:val="en-US" w:eastAsia="zh-CN"/>
        </w:rPr>
        <w:t>参数</w:t>
      </w:r>
    </w:p>
    <w:bookmarkEnd w:id="0"/>
    <w:p w14:paraId="5FE8BBAD">
      <w:pPr>
        <w:pStyle w:val="2"/>
      </w:pPr>
    </w:p>
    <w:tbl>
      <w:tblPr>
        <w:tblStyle w:val="7"/>
        <w:tblW w:w="9680" w:type="dxa"/>
        <w:tblInd w:w="-491" w:type="dxa"/>
        <w:tblLayout w:type="fixed"/>
        <w:tblCellMar>
          <w:top w:w="0" w:type="dxa"/>
          <w:left w:w="108" w:type="dxa"/>
          <w:bottom w:w="0" w:type="dxa"/>
          <w:right w:w="108" w:type="dxa"/>
        </w:tblCellMar>
      </w:tblPr>
      <w:tblGrid>
        <w:gridCol w:w="366"/>
        <w:gridCol w:w="1114"/>
        <w:gridCol w:w="6668"/>
        <w:gridCol w:w="491"/>
        <w:gridCol w:w="553"/>
        <w:gridCol w:w="488"/>
      </w:tblGrid>
      <w:tr w14:paraId="3DA33D7A">
        <w:tblPrEx>
          <w:tblCellMar>
            <w:top w:w="0" w:type="dxa"/>
            <w:left w:w="108" w:type="dxa"/>
            <w:bottom w:w="0" w:type="dxa"/>
            <w:right w:w="108" w:type="dxa"/>
          </w:tblCellMar>
        </w:tblPrEx>
        <w:trPr>
          <w:trHeight w:val="472" w:hRule="atLeast"/>
        </w:trPr>
        <w:tc>
          <w:tcPr>
            <w:tcW w:w="9680" w:type="dxa"/>
            <w:gridSpan w:val="6"/>
            <w:tcBorders>
              <w:top w:val="single" w:color="auto" w:sz="4" w:space="0"/>
              <w:left w:val="single" w:color="auto" w:sz="4" w:space="0"/>
              <w:bottom w:val="single" w:color="auto" w:sz="4" w:space="0"/>
              <w:right w:val="single" w:color="auto" w:sz="4" w:space="0"/>
            </w:tcBorders>
            <w:noWrap/>
            <w:vAlign w:val="center"/>
          </w:tcPr>
          <w:p w14:paraId="7FED5904">
            <w:pPr>
              <w:widowControl/>
              <w:spacing w:line="340" w:lineRule="exact"/>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bCs/>
                <w:kern w:val="0"/>
                <w:sz w:val="24"/>
                <w:szCs w:val="24"/>
              </w:rPr>
              <w:t>项目要求及技术需求</w:t>
            </w:r>
          </w:p>
        </w:tc>
      </w:tr>
      <w:tr w14:paraId="32160998">
        <w:tblPrEx>
          <w:tblCellMar>
            <w:top w:w="0" w:type="dxa"/>
            <w:left w:w="108" w:type="dxa"/>
            <w:bottom w:w="0" w:type="dxa"/>
            <w:right w:w="108" w:type="dxa"/>
          </w:tblCellMar>
        </w:tblPrEx>
        <w:trPr>
          <w:trHeight w:val="809" w:hRule="atLeast"/>
        </w:trPr>
        <w:tc>
          <w:tcPr>
            <w:tcW w:w="366" w:type="dxa"/>
            <w:tcBorders>
              <w:top w:val="single" w:color="auto" w:sz="4" w:space="0"/>
              <w:left w:val="single" w:color="auto" w:sz="4" w:space="0"/>
              <w:bottom w:val="single" w:color="auto" w:sz="4" w:space="0"/>
              <w:right w:val="single" w:color="auto" w:sz="4" w:space="0"/>
            </w:tcBorders>
            <w:noWrap/>
            <w:vAlign w:val="center"/>
          </w:tcPr>
          <w:p w14:paraId="10D3142B">
            <w:pPr>
              <w:widowControl/>
              <w:spacing w:line="340" w:lineRule="exact"/>
              <w:jc w:val="center"/>
              <w:rPr>
                <w:rFonts w:hint="eastAsia" w:ascii="宋体" w:hAnsi="宋体" w:eastAsia="宋体" w:cs="宋体"/>
                <w:b/>
                <w:kern w:val="0"/>
                <w:sz w:val="24"/>
                <w:szCs w:val="24"/>
              </w:rPr>
            </w:pPr>
            <w:r>
              <w:rPr>
                <w:rFonts w:hint="eastAsia" w:ascii="宋体" w:hAnsi="宋体" w:eastAsia="宋体" w:cs="宋体"/>
                <w:b/>
                <w:sz w:val="24"/>
                <w:szCs w:val="24"/>
              </w:rPr>
              <w:t>项号</w:t>
            </w:r>
          </w:p>
        </w:tc>
        <w:tc>
          <w:tcPr>
            <w:tcW w:w="1114" w:type="dxa"/>
            <w:tcBorders>
              <w:top w:val="single" w:color="auto" w:sz="4" w:space="0"/>
              <w:left w:val="nil"/>
              <w:bottom w:val="single" w:color="auto" w:sz="4" w:space="0"/>
              <w:right w:val="single" w:color="auto" w:sz="4" w:space="0"/>
            </w:tcBorders>
            <w:noWrap/>
            <w:vAlign w:val="center"/>
          </w:tcPr>
          <w:p w14:paraId="55FFB438">
            <w:pPr>
              <w:widowControl/>
              <w:spacing w:line="340" w:lineRule="exact"/>
              <w:jc w:val="center"/>
              <w:rPr>
                <w:rFonts w:hint="eastAsia" w:ascii="宋体" w:hAnsi="宋体" w:eastAsia="宋体" w:cs="宋体"/>
                <w:b/>
                <w:kern w:val="0"/>
                <w:sz w:val="24"/>
                <w:szCs w:val="24"/>
              </w:rPr>
            </w:pPr>
            <w:r>
              <w:rPr>
                <w:rFonts w:hint="eastAsia" w:ascii="宋体" w:hAnsi="宋体" w:eastAsia="宋体" w:cs="宋体"/>
                <w:b/>
                <w:sz w:val="24"/>
                <w:szCs w:val="24"/>
              </w:rPr>
              <w:t>标的名称</w:t>
            </w:r>
          </w:p>
        </w:tc>
        <w:tc>
          <w:tcPr>
            <w:tcW w:w="6668" w:type="dxa"/>
            <w:tcBorders>
              <w:top w:val="single" w:color="auto" w:sz="4" w:space="0"/>
              <w:left w:val="nil"/>
              <w:bottom w:val="single" w:color="auto" w:sz="4" w:space="0"/>
              <w:right w:val="single" w:color="auto" w:sz="4" w:space="0"/>
            </w:tcBorders>
            <w:noWrap/>
            <w:vAlign w:val="center"/>
          </w:tcPr>
          <w:p w14:paraId="3E5DB04B">
            <w:pPr>
              <w:widowControl/>
              <w:spacing w:line="340" w:lineRule="exact"/>
              <w:jc w:val="center"/>
              <w:rPr>
                <w:rFonts w:hint="eastAsia" w:ascii="宋体" w:hAnsi="宋体" w:eastAsia="宋体" w:cs="宋体"/>
                <w:b/>
                <w:kern w:val="0"/>
                <w:sz w:val="24"/>
                <w:szCs w:val="24"/>
                <w:lang w:val="en-US" w:eastAsia="zh-CN" w:bidi="ar-SA"/>
              </w:rPr>
            </w:pPr>
            <w:r>
              <w:rPr>
                <w:rFonts w:hint="eastAsia" w:ascii="宋体" w:hAnsi="宋体" w:eastAsia="宋体" w:cs="宋体"/>
                <w:b/>
                <w:sz w:val="24"/>
                <w:szCs w:val="24"/>
              </w:rPr>
              <w:t>技术参数及性能（配置）要求</w:t>
            </w:r>
          </w:p>
        </w:tc>
        <w:tc>
          <w:tcPr>
            <w:tcW w:w="491" w:type="dxa"/>
            <w:tcBorders>
              <w:top w:val="single" w:color="auto" w:sz="4" w:space="0"/>
              <w:left w:val="nil"/>
              <w:bottom w:val="single" w:color="auto" w:sz="4" w:space="0"/>
              <w:right w:val="single" w:color="auto" w:sz="4" w:space="0"/>
            </w:tcBorders>
            <w:noWrap/>
            <w:vAlign w:val="center"/>
          </w:tcPr>
          <w:p w14:paraId="6A870D39">
            <w:pPr>
              <w:widowControl/>
              <w:spacing w:line="340" w:lineRule="exact"/>
              <w:jc w:val="center"/>
              <w:rPr>
                <w:rFonts w:hint="default" w:ascii="宋体" w:hAnsi="宋体" w:eastAsia="宋体" w:cs="宋体"/>
                <w:b/>
                <w:kern w:val="0"/>
                <w:sz w:val="24"/>
                <w:szCs w:val="24"/>
                <w:lang w:val="en-US" w:eastAsia="zh-CN" w:bidi="ar-SA"/>
              </w:rPr>
            </w:pPr>
            <w:r>
              <w:rPr>
                <w:rFonts w:hint="eastAsia" w:ascii="宋体" w:hAnsi="宋体" w:eastAsia="宋体" w:cs="宋体"/>
                <w:b/>
                <w:sz w:val="24"/>
                <w:szCs w:val="24"/>
              </w:rPr>
              <w:t>数量</w:t>
            </w:r>
          </w:p>
        </w:tc>
        <w:tc>
          <w:tcPr>
            <w:tcW w:w="553" w:type="dxa"/>
            <w:tcBorders>
              <w:top w:val="single" w:color="auto" w:sz="4" w:space="0"/>
              <w:left w:val="nil"/>
              <w:bottom w:val="single" w:color="auto" w:sz="4" w:space="0"/>
              <w:right w:val="single" w:color="auto" w:sz="4" w:space="0"/>
            </w:tcBorders>
            <w:noWrap/>
            <w:vAlign w:val="center"/>
          </w:tcPr>
          <w:p w14:paraId="1E58178C">
            <w:pPr>
              <w:widowControl/>
              <w:spacing w:line="340" w:lineRule="exact"/>
              <w:jc w:val="center"/>
              <w:rPr>
                <w:rFonts w:hint="default" w:ascii="宋体" w:hAnsi="宋体" w:eastAsia="宋体" w:cs="宋体"/>
                <w:b/>
                <w:kern w:val="0"/>
                <w:sz w:val="24"/>
                <w:szCs w:val="24"/>
                <w:lang w:val="en-US" w:eastAsia="zh-CN" w:bidi="ar-SA"/>
              </w:rPr>
            </w:pPr>
            <w:r>
              <w:rPr>
                <w:rFonts w:hint="eastAsia" w:ascii="宋体" w:hAnsi="宋体" w:eastAsia="宋体" w:cs="宋体"/>
                <w:b/>
                <w:kern w:val="0"/>
                <w:sz w:val="24"/>
                <w:szCs w:val="24"/>
              </w:rPr>
              <w:t>单位</w:t>
            </w:r>
          </w:p>
        </w:tc>
        <w:tc>
          <w:tcPr>
            <w:tcW w:w="488" w:type="dxa"/>
            <w:tcBorders>
              <w:top w:val="single" w:color="auto" w:sz="4" w:space="0"/>
              <w:left w:val="nil"/>
              <w:bottom w:val="single" w:color="auto" w:sz="4" w:space="0"/>
              <w:right w:val="single" w:color="auto" w:sz="4" w:space="0"/>
            </w:tcBorders>
            <w:noWrap/>
            <w:vAlign w:val="center"/>
          </w:tcPr>
          <w:p w14:paraId="65198A11">
            <w:pPr>
              <w:widowControl/>
              <w:spacing w:line="340" w:lineRule="exact"/>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00EA5A3B">
        <w:tblPrEx>
          <w:tblCellMar>
            <w:top w:w="0" w:type="dxa"/>
            <w:left w:w="108" w:type="dxa"/>
            <w:bottom w:w="0" w:type="dxa"/>
            <w:right w:w="108" w:type="dxa"/>
          </w:tblCellMar>
        </w:tblPrEx>
        <w:trPr>
          <w:trHeight w:val="2449" w:hRule="atLeast"/>
        </w:trPr>
        <w:tc>
          <w:tcPr>
            <w:tcW w:w="366" w:type="dxa"/>
            <w:tcBorders>
              <w:top w:val="single" w:color="auto" w:sz="4" w:space="0"/>
              <w:left w:val="single" w:color="auto" w:sz="4" w:space="0"/>
              <w:bottom w:val="single" w:color="auto" w:sz="4" w:space="0"/>
              <w:right w:val="single" w:color="auto" w:sz="4" w:space="0"/>
            </w:tcBorders>
            <w:noWrap/>
            <w:vAlign w:val="center"/>
          </w:tcPr>
          <w:p w14:paraId="0B53BBAC">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114" w:type="dxa"/>
            <w:tcBorders>
              <w:top w:val="single" w:color="auto" w:sz="4" w:space="0"/>
              <w:left w:val="nil"/>
              <w:bottom w:val="single" w:color="auto" w:sz="4" w:space="0"/>
              <w:right w:val="single" w:color="auto" w:sz="4" w:space="0"/>
            </w:tcBorders>
            <w:noWrap/>
            <w:vAlign w:val="center"/>
          </w:tcPr>
          <w:p w14:paraId="56BAC186">
            <w:pPr>
              <w:spacing w:line="360" w:lineRule="auto"/>
              <w:jc w:val="left"/>
              <w:rPr>
                <w:rFonts w:hint="default" w:ascii="宋体" w:hAnsi="宋体" w:eastAsia="宋体" w:cs="宋体"/>
                <w:sz w:val="24"/>
                <w:szCs w:val="24"/>
                <w:lang w:val="en-US"/>
              </w:rPr>
            </w:pPr>
            <w:r>
              <w:rPr>
                <w:rFonts w:hint="eastAsia" w:ascii="宋体" w:hAnsi="宋体" w:cs="宋体"/>
                <w:i w:val="0"/>
                <w:iCs w:val="0"/>
                <w:color w:val="000000"/>
                <w:kern w:val="0"/>
                <w:sz w:val="24"/>
                <w:szCs w:val="24"/>
                <w:u w:val="none"/>
                <w:lang w:val="en-US" w:eastAsia="zh-CN" w:bidi="ar"/>
              </w:rPr>
              <w:t>广西艺术学校精品课程建设项目（4门课程）</w:t>
            </w:r>
          </w:p>
        </w:tc>
        <w:tc>
          <w:tcPr>
            <w:tcW w:w="6668" w:type="dxa"/>
            <w:tcBorders>
              <w:top w:val="single" w:color="auto" w:sz="4" w:space="0"/>
              <w:left w:val="nil"/>
              <w:bottom w:val="single" w:color="auto" w:sz="4" w:space="0"/>
              <w:right w:val="single" w:color="auto" w:sz="4" w:space="0"/>
            </w:tcBorders>
            <w:noWrap/>
            <w:vAlign w:val="center"/>
          </w:tcPr>
          <w:p w14:paraId="7F8AD1D0">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一、富媒体化内容</w:t>
            </w:r>
          </w:p>
          <w:p w14:paraId="6982945E">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▲（1）授课内容：以授课视频为主，还包括PPT+授课录音，PPT+录音等形式。支持通用流媒体视频格式，支持高清分辨率，视频支持mp4、AVI、FLV、mov 、ASF等主流高清格式。</w:t>
            </w:r>
          </w:p>
          <w:p w14:paraId="5DECCB6A">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（2）参考文献：应提供课程的参考文献，提供电子版，学生与教师均可在线打开阅读，支持WORD、PPT等文档格式在线预览。</w:t>
            </w:r>
          </w:p>
          <w:p w14:paraId="2A19C5F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（3）教学目标：课程应提供明确的教学目标。</w:t>
            </w:r>
          </w:p>
          <w:p w14:paraId="6D452E2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（4）教学大纲：课程应提供明确的教学大纲。</w:t>
            </w:r>
          </w:p>
          <w:p w14:paraId="1E7F5314">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（5）教学任务：应根据教学大纲制定教学任务，可包含授课视频播放、参考资料阅读、讨论、作业、考试等各种任务类型，根据需要选择。</w:t>
            </w:r>
          </w:p>
          <w:p w14:paraId="18C1BAC4">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（6）考核办法：课程应提供明确的考核办法，分为知识单元考核与课程整体考核两种。</w:t>
            </w:r>
          </w:p>
          <w:p w14:paraId="5943003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（7）作业考试：课程应建设题库，用于作业及考试，考试题包括判断、选择等客观题，也可包含主观题。</w:t>
            </w:r>
          </w:p>
          <w:p w14:paraId="2C39045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（8）课程素材：课程还应提供文本、音频、视频等课程参考素材，帮助学生理解所学课程内容。</w:t>
            </w:r>
          </w:p>
          <w:p w14:paraId="56AA0F91">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▲（9）制作内容：</w:t>
            </w:r>
          </w:p>
          <w:p w14:paraId="062B581E">
            <w:pPr>
              <w:spacing w:line="360" w:lineRule="auto"/>
              <w:ind w:firstLine="240" w:firstLineChars="1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制作</w:t>
            </w:r>
            <w:r>
              <w:rPr>
                <w:rFonts w:hint="eastAsia" w:ascii="宋体" w:hAnsi="宋体" w:cs="宋体"/>
                <w:b w:val="0"/>
                <w:bCs w:val="0"/>
                <w:color w:val="auto"/>
                <w:sz w:val="24"/>
                <w:szCs w:val="24"/>
                <w:lang w:val="en-US" w:eastAsia="zh-CN"/>
              </w:rPr>
              <w:t>4门精品</w:t>
            </w:r>
            <w:r>
              <w:rPr>
                <w:rFonts w:hint="eastAsia" w:ascii="宋体" w:hAnsi="宋体" w:eastAsia="宋体" w:cs="宋体"/>
                <w:b w:val="0"/>
                <w:bCs w:val="0"/>
                <w:color w:val="auto"/>
                <w:sz w:val="24"/>
                <w:szCs w:val="24"/>
              </w:rPr>
              <w:t>课程的视频资源</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共计1600分钟，每门课程400分钟。</w:t>
            </w:r>
          </w:p>
          <w:p w14:paraId="4EF9C077">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二、知识单元化</w:t>
            </w:r>
          </w:p>
          <w:p w14:paraId="5A4E668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（1）视频单元时长：将多个相关知识点融合入一个视频，视频时间以5~15分钟。</w:t>
            </w:r>
          </w:p>
          <w:p w14:paraId="6A7F10C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（2）知识单元篇头：知识单元授课内容之前加上课程篇头。</w:t>
            </w:r>
          </w:p>
          <w:p w14:paraId="62D57A3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（3）知识单元内容：每个知识单元包含这一个知识单元的视频（含授课视频等）、参考资料、作业题、考试题等内容。</w:t>
            </w:r>
          </w:p>
          <w:p w14:paraId="294EBEF6">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（4）知识单元任务：每个知识单元的内容可转化为学生的学习任务（可以选择）。</w:t>
            </w:r>
          </w:p>
          <w:p w14:paraId="0EA85E66">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（5）知识单元考核：每个知识单元设置考核点，包括作业、讨论等。</w:t>
            </w:r>
          </w:p>
          <w:p w14:paraId="40474CF9">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三、学习流程管理</w:t>
            </w:r>
          </w:p>
          <w:p w14:paraId="7750424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▲课程具有完善的学习流程管理功能，实现学生在线学习、视频播放、讨论答疑、作业、考试等功能。</w:t>
            </w:r>
          </w:p>
          <w:p w14:paraId="368213FF">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四、精品课程建设中的图、文、音视频技术</w:t>
            </w:r>
          </w:p>
          <w:p w14:paraId="2A3C077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（1）能够实现在一个页面中同时展示多个视频；一个页面中同时展示视频、Word文档、PPT、图片、教参书等多种教学元素。</w:t>
            </w:r>
          </w:p>
          <w:p w14:paraId="41950304">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（2）图、文、音视频可以在网页的任何位置原位插入和展示。Word和PPT可以原位实现放大、缩小、搜索、全屏、翻页。</w:t>
            </w:r>
          </w:p>
          <w:p w14:paraId="56987E31">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（3）一次转码，支持多终端、多码流的自动适配。</w:t>
            </w:r>
          </w:p>
          <w:p w14:paraId="02885256">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（4）音视频傻瓜式在线剪辑技术。</w:t>
            </w:r>
          </w:p>
          <w:p w14:paraId="057F2587">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五、在线精品课程运维功能参数</w:t>
            </w:r>
          </w:p>
          <w:p w14:paraId="0630F7A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1.简洁操作：课程网站建设只需通过“选择模板、编辑课程信息、编辑课程章节”等几个简单的步骤，就可以快速地建成一门课程或符合精品资源共享课程要求的个性化课程网站。</w:t>
            </w:r>
          </w:p>
          <w:p w14:paraId="23E63D1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2.提供课程模板：提供多套精美网络课程建课模板，教师可依据个人资料的丰富程度及喜欢的风格进行个性化的设置，支持教师在建课程自动生成课程网站。</w:t>
            </w:r>
          </w:p>
          <w:p w14:paraId="13A45EC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课程编辑页面设置：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w:t>
            </w:r>
          </w:p>
          <w:p w14:paraId="4D4C6C95">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4.支持克隆课程，克隆后将产生当前课程的一个副本，可以克隆本课程给他人或者自己。支持映射课程：映射的课程不允许对课程内容进行编辑。</w:t>
            </w:r>
          </w:p>
          <w:p w14:paraId="5CED6D15">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5.课程共建：课程负责人可指派其他人作为具有同等或者小于本身课程建设管理权限的课程建设者共建同一门课程，也可为自己指定助教辅助自己进行课程建设和教学管理。</w:t>
            </w:r>
          </w:p>
          <w:p w14:paraId="4A4724E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▲6.教材教参:教师可以从备课资源库中查找并添加课程相关的教学参考书，推荐给学生直接进行在线阅读。</w:t>
            </w:r>
          </w:p>
          <w:p w14:paraId="0D53192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7.教学流程管理：支持课程教学流程管理，可在课程学习过程中任意位置添加随堂测验，可在单元学习完成后布置作业，可以在章节学习完成后安排考试。</w:t>
            </w:r>
          </w:p>
          <w:p w14:paraId="7A72AA87">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8.推荐视频：教师可以从备课资源库中查找并添加课程相关的学术视频，推荐给学生直接进行在线观看。 </w:t>
            </w:r>
          </w:p>
          <w:p w14:paraId="3D79DD67">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9.课堂投屏：支持只需在PC浏览器中输入简单的网址，填入为每堂课生成的专属“投屏码”，即可轻松实现教学内容的无线投屏。通过投屏，可将PPT、文档等教学资料，以及签到、选人、抢答、投票、主题讨论等教学互动过程与结果，实现上墙展示。</w:t>
            </w:r>
          </w:p>
          <w:p w14:paraId="4AC5A99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10.视频自动转码：支持rmvb、3gp、mpg、mpeg、mov、wmv、asf、avi、mkv、mp4、flv、vob、f4v等高清和网络格式视频上传，视频上传后自动转码，无需下载可以直接在线进行播放。</w:t>
            </w:r>
          </w:p>
          <w:p w14:paraId="4248F081">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11.自动转码阅读：支持多种文档格式的上传，包括DOC、PPT、PDF、TXT等，上传后自动转码，无需下载可以直接在线阅读。</w:t>
            </w:r>
          </w:p>
          <w:p w14:paraId="598017A4">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12.超大文件上传; 支持超大文件（2G以上）上传并可断点续传。</w:t>
            </w:r>
          </w:p>
          <w:p w14:paraId="144A43F5">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13.个人云盘：支持将资源先批量上传至个人云盘中，然后在课程中引用。</w:t>
            </w:r>
          </w:p>
          <w:p w14:paraId="582F4C0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▲14.在线虚拟剪辑：支持在线虚拟剪辑视频：上传视频后，可以在任意时间点在线标注，无需物理剪切视频，即可实现任意视频段落在任意章节播放。</w:t>
            </w:r>
          </w:p>
          <w:p w14:paraId="32B6DEA1">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15.视频编辑：支持视频中任意时间点插入测验：上传视频后，可以在任意时间点插入测试题，包含单选题、多选题和对错题。</w:t>
            </w:r>
          </w:p>
          <w:p w14:paraId="5C096C5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16.视频集成: 支持视频中任意时间点插入图片或PPT：可以在任意时间点插入图片或PPT，同时支持对插入的内容在时间轴上随意拖动。插入的PPT可以任意拖动位置，并可以跟视频窗口进行切换。</w:t>
            </w:r>
          </w:p>
          <w:p w14:paraId="34BDB80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17.公式编辑器: 提供可视化的公式编辑器，可以在线进行公式的录入与编辑。</w:t>
            </w:r>
          </w:p>
          <w:p w14:paraId="0E7AE29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18.支持扫描二维码、手势、定位、拍照等签到方式，提高签到效率。</w:t>
            </w:r>
          </w:p>
          <w:p w14:paraId="2C73232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19.知识点拓展阅读: 知识点拓展阅读功能，可以根据一个关键词自动生成相关知识点的知识树，插入到课程单元中，并自动推送知识点相关的电子图书、期刊、学术视频等。20.支持生成试卷分析报告，报告中需至少包含试卷难度、区分度统计，成绩正态分布，成绩标准差、方差、试卷信度等分析数据项。</w:t>
            </w:r>
          </w:p>
          <w:p w14:paraId="54D443BE">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21.发布考试支持自动随机组卷，组多套试卷时，可设置试卷试题重复率为0、不高于50%、不高于80%等，系统可自动检测组卷重复率是否达标，并给出提示。 </w:t>
            </w:r>
          </w:p>
          <w:p w14:paraId="44C777E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22.支持设置试卷导出模板，可设置试卷装订线、试卷页头页尾、考试承诺书、试卷页码、打印效果（A3、A4、B4版式）等，导出试卷是可一并导出答题卡，答案解析等。</w:t>
            </w:r>
          </w:p>
          <w:p w14:paraId="56D6E70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23.支持不借助任何第三方投屏软件，通过移动端投屏功能把移动端图片、文档、课程相关图片、视频资源直接在投在电脑屏幕上展示。</w:t>
            </w:r>
          </w:p>
          <w:p w14:paraId="00ECEF8A">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▲24.移动端和PC端均内置</w:t>
            </w:r>
            <w:r>
              <w:rPr>
                <w:rFonts w:hint="eastAsia" w:ascii="宋体" w:hAnsi="宋体" w:cs="宋体"/>
                <w:sz w:val="24"/>
                <w:szCs w:val="24"/>
                <w:lang w:val="en-US" w:eastAsia="zh-CN"/>
              </w:rPr>
              <w:t>课程教学</w:t>
            </w:r>
            <w:r>
              <w:rPr>
                <w:rFonts w:hint="eastAsia" w:ascii="宋体" w:hAnsi="宋体" w:eastAsia="宋体" w:cs="宋体"/>
                <w:sz w:val="24"/>
                <w:szCs w:val="24"/>
              </w:rPr>
              <w:t>包，教师可使用教学示范包在移动端建课教学，示范教学包包含章节视频、课件、资料、试题库，可以根据学校属性选择、修改。</w:t>
            </w:r>
          </w:p>
          <w:p w14:paraId="008C8FD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▲25.支持在课程章节中插入直播教学，可对直播方式进行设置，包括pc客户端直播、app直播或推流直播等，所有已添加直播由个人直播管理后台统一管理。</w:t>
            </w:r>
          </w:p>
          <w:p w14:paraId="646CB91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26.支持在线创建知识点，知识点支持手动创建与批量导入；支持一键引用其它课程知识点。（系统支持编辑知识点属性，设置教学目标；设置认知维度，如记忆维度、应用维度、创造维度等，支持设置前后关联知识点。）</w:t>
            </w:r>
          </w:p>
          <w:p w14:paraId="2D5E791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27.支持教师导出学生综合成绩，同时支持成绩分项导出，成绩分项至少支持讨论详情、作业详情、考试详情、音视频观看详情、章节测验详情等，并在线发放电子证书。</w:t>
            </w:r>
          </w:p>
          <w:p w14:paraId="54500F4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28.教师通过点击课表中课程，可直接进入课程详情页面，支持编辑上课方式、上课地点，可在课表中直接发起课堂签到、课堂投票、选人、抢答等课堂活动；支持班级学生管理、教学日志编写、教案编写。</w:t>
            </w:r>
          </w:p>
          <w:p w14:paraId="1E47C3C4">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▲29.支持课程资源编辑器，编辑器需适应教师使用word/wps等软件习惯，支持设置字体颜色修改、行距、格式设置，支持文本格式刷。</w:t>
            </w:r>
          </w:p>
          <w:p w14:paraId="3B1A233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▲30.支持教学视频任意时间点插入课程知识图谱中已建设完成的知识点，并拖动修改位置；支持教学视频任意时间点插入批注，批注可在线编辑。</w:t>
            </w:r>
          </w:p>
          <w:p w14:paraId="0211200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31.支持记录笔记功能：学生可以通过图片、录音、文字、链接、位置等方式记录学习内容，同时录音内容支持实时智能识别，转换成文字内容；并且支持打点记录学习或会议内容。</w:t>
            </w:r>
          </w:p>
          <w:p w14:paraId="7D9F1E3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32.教师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p>
          <w:p w14:paraId="441A24D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33.支持自定义创建门户时，可选择平台提供的门户模板，至少提供20个不同风格模板供选择。支持管理员用户自定义设置门户访问权限，无需权限或必须登陆后访问；可自定义设置学校门户域名。</w:t>
            </w:r>
          </w:p>
          <w:p w14:paraId="150D8A73">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六、专业人员、设备技术条件</w:t>
            </w:r>
          </w:p>
          <w:p w14:paraId="2FD636D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▲（1）课程制作团队至少包含课程经理、课程顾问（编导）、视频工程师、课程专员各一名，配备人员必须具有同类课程的制作经验。</w:t>
            </w:r>
          </w:p>
          <w:p w14:paraId="2BECD6A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（2）课程顾问须为教师提供混合式教学方法的在线视频学习指导。课程制作团队应与每个课程的教学团队进行深度沟通，为每门课程的建设提供个性化的设计和咨询服务。</w:t>
            </w:r>
          </w:p>
          <w:p w14:paraId="2C2A12C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课程结构的设计：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14:paraId="052DC97A">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（4）教学方法的设计：帮助老师进行适合在线课程的教学方法设计，包括课堂面授、直观教学、角色模拟、操作演示、讨论互动等教学方法设计。</w:t>
            </w:r>
          </w:p>
          <w:p w14:paraId="1C883081">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（5）教学风格的塑造：指导老师塑造理性严谨、情绪感染、自然朴素、风趣幽默等类型的教学风格。</w:t>
            </w:r>
          </w:p>
          <w:p w14:paraId="6231428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（6）教学仪态的设计：为教师提供教师形象、教学动作、教学语言等咨询与建议，辅导老师适应镜头，辅导老师进行着装选择。</w:t>
            </w:r>
          </w:p>
          <w:p w14:paraId="1F77DE21">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安排专人协助教师搜集各类课程资料和辅助资源，包括图片、视频、文档等。</w:t>
            </w:r>
          </w:p>
          <w:p w14:paraId="0536153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（7）指导老师美化加工PPT课件。</w:t>
            </w:r>
          </w:p>
          <w:p w14:paraId="24FB673A">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（8）根据课程需要，拍摄基地须提供多种拍摄场地，进行教学场景的设计及布景。</w:t>
            </w:r>
          </w:p>
          <w:p w14:paraId="1C7F5E47">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▲（9）根据课程性质，课程制作团队与教师一起确定课程最合理的拍摄方式，提供不少于以下几种的拍摄模式供老师选择，特殊课程可根据老师课程框架设计更多拍摄模式，一门课程可以采用多种拍摄模式：</w:t>
            </w:r>
          </w:p>
          <w:p w14:paraId="11CEF43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①PPT模式 ：在摄影棚内拍摄，全程PPT演示。</w:t>
            </w:r>
          </w:p>
          <w:p w14:paraId="08172B8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②访谈模式 ：在摄影棚内拍摄，根据访谈人数，设定机位数，一般2-3机位，教学过程由多位老师交流讨论完成。适合启发性的、思维拓展和发散的学科课程。</w:t>
            </w:r>
          </w:p>
          <w:p w14:paraId="71A1E1A7">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③演示模式 ：在摄影棚内多机位拍摄，通过实际操作演示、讲解，完成教学过程。</w:t>
            </w:r>
          </w:p>
          <w:p w14:paraId="1AFBEDD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④场景实操模式 ：根据老师课程需求，选择在特定拍摄场地，多机位拍摄。</w:t>
            </w:r>
          </w:p>
          <w:p w14:paraId="6E6CDD5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⑤随堂拍摄模式：随堂拍摄，多机位拍摄，记录老师讲课现场风采。</w:t>
            </w:r>
          </w:p>
          <w:p w14:paraId="29A691C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（10）视频工程师与教师充分沟通并制定完善的课程拍摄计划。</w:t>
            </w:r>
          </w:p>
          <w:p w14:paraId="2EF3CD37">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（11）结合老师的讲稿，编写拍摄脚本。</w:t>
            </w:r>
          </w:p>
          <w:p w14:paraId="7BECCCF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（12）根据拍摄计划，按照不同的场景、要求，进行前期准备，配合老师进行特殊拍摄需求的准备，和老师确定准备材料。与老师沟通说明拍摄要求，并协助提供着装意见。</w:t>
            </w:r>
          </w:p>
          <w:p w14:paraId="7B3E03D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（13）按照拍摄方案要求，设计拍摄场景并安排布景和调试灯光。</w:t>
            </w:r>
          </w:p>
          <w:p w14:paraId="7628C2EE">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七、后期制作技术要求</w:t>
            </w:r>
          </w:p>
          <w:p w14:paraId="4CD0156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（1）使用专业的非线性编辑系统对源视频进行最基本的处理（如抠像、颜色校正、双声道处理）。使用专业的视频编辑系统进行视频降噪、音频降噪。</w:t>
            </w:r>
          </w:p>
          <w:p w14:paraId="1D40426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（2）按照拍摄方案，不同的拍摄模式采用不同的制作方式，例如，PPT模式需分章节剪辑，基地访谈模式按照老师讲解的内容变换机位等。</w:t>
            </w:r>
          </w:p>
          <w:p w14:paraId="43418ADE">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片头：使用专业的后期合成软件进行片头设计：用平面设计+后期合成+3D渲染，根据每个课题的内容设计出相关联的内容元素，片头不超过10秒，包括:学校LOGO、课程名称、讲次、主讲教师姓名、专业技术职务、单位等信息。</w:t>
            </w:r>
          </w:p>
          <w:p w14:paraId="0B951BD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（4）课程内容剪辑：技术工程师通篇观看视频，按照章节框架、以及现场场记情况，分章节剪辑老师状态不佳、口误、出境、停顿等片段。实操部分添加必要的背景音乐。</w:t>
            </w:r>
          </w:p>
          <w:p w14:paraId="483A115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（5）片花：使用专业的后期合成软件进行片花设计，片花长度为1-3分钟，保证制作的片花无错误、无硬伤，画面美观，排版规范、逻辑完整，能呈现课程特色。</w:t>
            </w:r>
          </w:p>
          <w:p w14:paraId="609ED2C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（6）使用专业的后期合成软件制作片尾：根据课程的版权信息，制定片尾，包括版权单位、制作单位、录制时间等信息。</w:t>
            </w:r>
          </w:p>
          <w:p w14:paraId="5542E73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（7）使用专业非线性编辑系统渲染成片：所有内容编辑结束之后，生成成片，成品为高清制式。</w:t>
            </w:r>
          </w:p>
          <w:p w14:paraId="24E1B729">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八、技术指标</w:t>
            </w:r>
          </w:p>
          <w:p w14:paraId="11F6FF4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（1）视频信号源</w:t>
            </w:r>
          </w:p>
          <w:p w14:paraId="65D0433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稳定性：全片图像同步性能稳定，无失步现象，CTL同步控制信号必须连续；图像无抖动跳跃，色彩无突变，编辑点处图像稳定。</w:t>
            </w:r>
          </w:p>
          <w:p w14:paraId="1114928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信噪比：图像信噪比不低于55dB，无明显杂波。</w:t>
            </w:r>
          </w:p>
          <w:p w14:paraId="0E2284B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色调：白平衡正确，无明显偏色，多机拍摄的镜头衔接处无明显色差。</w:t>
            </w:r>
          </w:p>
          <w:p w14:paraId="5EC503A7">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视频电平：视频全讯号幅度为1Vp-p，最大不超过1.1Vp-p。其中，消隐电平为0V时，白电平幅度0.7 Vp-p，同步信号-0.3V，色同步信号幅度0.3Vp-p (以消隐线上下对称)，全片一致。</w:t>
            </w:r>
          </w:p>
          <w:p w14:paraId="511AA8B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（2）音频信号源</w:t>
            </w:r>
          </w:p>
          <w:p w14:paraId="3A1543FA">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声道：中文内容音频信号记录于第1声道，音乐、音效、同期声记录于第2声道，若有其他文字解说记录于第3声道（如录音设备无第3声道，则录于第2声道）。</w:t>
            </w:r>
          </w:p>
          <w:p w14:paraId="0A97199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电平指标：-2dB — -8dB，声音应无明显失真、放音过冲、过弱。</w:t>
            </w:r>
          </w:p>
          <w:p w14:paraId="3C4D902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音频信噪比不低于48dB。</w:t>
            </w:r>
          </w:p>
          <w:p w14:paraId="619A3B4F">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声音和画面要求同步，无交流声或其他杂音等缺陷。</w:t>
            </w:r>
          </w:p>
          <w:p w14:paraId="0927957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伴音清晰、饱满、圆润，无失真、噪声杂音干扰、音量忽大忽小现象。解说声与现场声无明显比例失调，解说声与背景音乐无明显比例失调。</w:t>
            </w:r>
          </w:p>
          <w:p w14:paraId="0A468D84">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（3）视频文件格式</w:t>
            </w:r>
          </w:p>
          <w:p w14:paraId="52895B77">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视频压缩采用H.264(MPEG-4Part10：profile=main,level=3.0)编码、使用二次编码、不包含字幕的 MP4格式。</w:t>
            </w:r>
          </w:p>
          <w:p w14:paraId="1868B5C5">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视频码流率：动态码流的最高码率不高于2500 Kbps，最低码率不得低于1024Kbps。</w:t>
            </w:r>
          </w:p>
          <w:p w14:paraId="5609FB2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▲视频分辨率：前期采用高清16:9拍摄，设定为 1280×720。在同一课程中，各讲的视频分辨率统一，统一高清。</w:t>
            </w:r>
          </w:p>
          <w:p w14:paraId="03A1992A">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视频画幅宽高比：分辨率设定为 1280×720的，选定为16:9。在同一课程中，各讲画幅的宽高比统一。</w:t>
            </w:r>
          </w:p>
          <w:p w14:paraId="669F2F70">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视频帧率为25帧/秒。扫描方式采用逐行扫描。</w:t>
            </w:r>
          </w:p>
          <w:p w14:paraId="2F294CB6">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音频压缩格式及技术参数：音频压缩采用AAC(MPEG4 Part3)格式，采样率48KHz，音频码流率128Kbps (恒定)，必须是双声道，必须做混音处理。</w:t>
            </w:r>
          </w:p>
          <w:p w14:paraId="2FB7A5D7">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视频格式采用MP4封装。</w:t>
            </w:r>
          </w:p>
          <w:p w14:paraId="2D28A32F">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九、增值服务：</w:t>
            </w:r>
          </w:p>
          <w:p w14:paraId="1F325DA4">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1.课程运维平台技术支持</w:t>
            </w:r>
            <w:r>
              <w:rPr>
                <w:rFonts w:hint="eastAsia" w:ascii="宋体" w:hAnsi="宋体" w:cs="宋体"/>
                <w:sz w:val="24"/>
                <w:szCs w:val="24"/>
                <w:lang w:eastAsia="zh-CN"/>
              </w:rPr>
              <w:t>；</w:t>
            </w:r>
          </w:p>
          <w:p w14:paraId="028052B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2.在线精品课程培育和指导：</w:t>
            </w:r>
          </w:p>
          <w:p w14:paraId="038BD0EE">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3.视频拍摄脚本、技巧培训和研讨；</w:t>
            </w:r>
          </w:p>
          <w:p w14:paraId="674F329F">
            <w:pPr>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4.对接数字资源：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w:t>
            </w:r>
            <w:r>
              <w:rPr>
                <w:rFonts w:hint="eastAsia" w:ascii="宋体" w:hAnsi="宋体" w:eastAsia="宋体" w:cs="宋体"/>
                <w:sz w:val="24"/>
                <w:szCs w:val="24"/>
                <w:lang w:eastAsia="zh-CN"/>
              </w:rPr>
              <w:t>。</w:t>
            </w:r>
          </w:p>
        </w:tc>
        <w:tc>
          <w:tcPr>
            <w:tcW w:w="491" w:type="dxa"/>
            <w:tcBorders>
              <w:top w:val="single" w:color="auto" w:sz="4" w:space="0"/>
              <w:left w:val="nil"/>
              <w:bottom w:val="single" w:color="auto" w:sz="4" w:space="0"/>
              <w:right w:val="single" w:color="auto" w:sz="4" w:space="0"/>
            </w:tcBorders>
            <w:noWrap/>
            <w:vAlign w:val="center"/>
          </w:tcPr>
          <w:p w14:paraId="51FA7186">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53" w:type="dxa"/>
            <w:tcBorders>
              <w:top w:val="single" w:color="auto" w:sz="4" w:space="0"/>
              <w:left w:val="nil"/>
              <w:bottom w:val="single" w:color="auto" w:sz="4" w:space="0"/>
              <w:right w:val="single" w:color="auto" w:sz="4" w:space="0"/>
            </w:tcBorders>
            <w:noWrap/>
            <w:vAlign w:val="center"/>
          </w:tcPr>
          <w:p w14:paraId="3A2404D2">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w:t>
            </w:r>
          </w:p>
        </w:tc>
        <w:tc>
          <w:tcPr>
            <w:tcW w:w="488" w:type="dxa"/>
            <w:tcBorders>
              <w:top w:val="single" w:color="auto" w:sz="4" w:space="0"/>
              <w:left w:val="nil"/>
              <w:bottom w:val="single" w:color="auto" w:sz="4" w:space="0"/>
              <w:right w:val="single" w:color="auto" w:sz="4" w:space="0"/>
            </w:tcBorders>
            <w:noWrap/>
            <w:vAlign w:val="center"/>
          </w:tcPr>
          <w:p w14:paraId="52CF12E7">
            <w:pPr>
              <w:rPr>
                <w:rFonts w:hint="eastAsia" w:ascii="宋体" w:hAnsi="宋体" w:eastAsia="宋体" w:cs="宋体"/>
                <w:i w:val="0"/>
                <w:iCs w:val="0"/>
                <w:color w:val="000000"/>
                <w:kern w:val="0"/>
                <w:sz w:val="24"/>
                <w:szCs w:val="24"/>
                <w:u w:val="none"/>
                <w:lang w:val="en-US" w:eastAsia="zh-CN" w:bidi="ar"/>
              </w:rPr>
            </w:pPr>
          </w:p>
        </w:tc>
      </w:tr>
    </w:tbl>
    <w:p w14:paraId="26E0490E">
      <w:r>
        <w:br w:type="page"/>
      </w:r>
    </w:p>
    <w:p w14:paraId="672BAD57">
      <w:pPr>
        <w:jc w:val="center"/>
        <w:rPr>
          <w:rFonts w:hint="eastAsia"/>
          <w:b/>
          <w:bCs/>
          <w:sz w:val="32"/>
          <w:szCs w:val="40"/>
          <w:lang w:val="en-US" w:eastAsia="zh-CN"/>
        </w:rPr>
      </w:pPr>
      <w:r>
        <w:rPr>
          <w:rFonts w:hint="eastAsia"/>
          <w:b/>
          <w:bCs/>
          <w:sz w:val="32"/>
          <w:szCs w:val="40"/>
          <w:lang w:val="en-US" w:eastAsia="zh-CN"/>
        </w:rPr>
        <w:t>评分标准</w:t>
      </w:r>
    </w:p>
    <w:tbl>
      <w:tblPr>
        <w:tblStyle w:val="7"/>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18"/>
        <w:gridCol w:w="6560"/>
        <w:gridCol w:w="829"/>
      </w:tblGrid>
      <w:tr w14:paraId="6FE9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70255079">
            <w:pPr>
              <w:widowControl/>
              <w:wordWrap w:val="0"/>
              <w:spacing w:line="400" w:lineRule="exact"/>
              <w:jc w:val="center"/>
              <w:rPr>
                <w:rFonts w:ascii="宋体" w:hAnsi="宋体"/>
                <w:b/>
                <w:bCs/>
                <w:color w:val="auto"/>
                <w:kern w:val="0"/>
                <w:szCs w:val="21"/>
              </w:rPr>
            </w:pPr>
            <w:r>
              <w:rPr>
                <w:rFonts w:hint="eastAsia" w:ascii="宋体" w:hAnsi="宋体"/>
                <w:b/>
                <w:bCs/>
                <w:color w:val="auto"/>
                <w:kern w:val="0"/>
                <w:szCs w:val="21"/>
              </w:rPr>
              <w:t>序号</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6876AD0">
            <w:pPr>
              <w:widowControl/>
              <w:wordWrap w:val="0"/>
              <w:spacing w:line="400" w:lineRule="exact"/>
              <w:jc w:val="center"/>
              <w:rPr>
                <w:rFonts w:ascii="宋体" w:hAnsi="宋体"/>
                <w:b/>
                <w:bCs/>
                <w:color w:val="auto"/>
                <w:kern w:val="0"/>
                <w:szCs w:val="21"/>
              </w:rPr>
            </w:pPr>
            <w:r>
              <w:rPr>
                <w:rFonts w:hint="eastAsia" w:ascii="宋体" w:hAnsi="宋体"/>
                <w:b/>
                <w:bCs/>
                <w:color w:val="auto"/>
                <w:kern w:val="0"/>
                <w:szCs w:val="21"/>
              </w:rPr>
              <w:t>评分因素</w:t>
            </w:r>
          </w:p>
        </w:tc>
        <w:tc>
          <w:tcPr>
            <w:tcW w:w="6560" w:type="dxa"/>
            <w:tcBorders>
              <w:top w:val="single" w:color="auto" w:sz="4" w:space="0"/>
              <w:left w:val="single" w:color="auto" w:sz="4" w:space="0"/>
              <w:bottom w:val="single" w:color="auto" w:sz="4" w:space="0"/>
              <w:right w:val="single" w:color="auto" w:sz="4" w:space="0"/>
            </w:tcBorders>
            <w:noWrap w:val="0"/>
            <w:vAlign w:val="center"/>
          </w:tcPr>
          <w:p w14:paraId="169CE737">
            <w:pPr>
              <w:widowControl/>
              <w:wordWrap w:val="0"/>
              <w:spacing w:line="400" w:lineRule="exact"/>
              <w:jc w:val="center"/>
              <w:rPr>
                <w:rFonts w:ascii="宋体" w:hAnsi="宋体"/>
                <w:b/>
                <w:bCs/>
                <w:color w:val="auto"/>
                <w:kern w:val="0"/>
                <w:szCs w:val="21"/>
              </w:rPr>
            </w:pPr>
            <w:r>
              <w:rPr>
                <w:rFonts w:hint="eastAsia" w:ascii="宋体" w:hAnsi="宋体"/>
                <w:b/>
                <w:bCs/>
                <w:color w:val="auto"/>
                <w:kern w:val="0"/>
                <w:szCs w:val="21"/>
              </w:rPr>
              <w:t>评分内容</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24E360B4">
            <w:pPr>
              <w:widowControl/>
              <w:wordWrap w:val="0"/>
              <w:spacing w:line="400" w:lineRule="exact"/>
              <w:jc w:val="center"/>
              <w:rPr>
                <w:rFonts w:ascii="宋体" w:hAnsi="宋体"/>
                <w:b/>
                <w:bCs/>
                <w:color w:val="auto"/>
                <w:kern w:val="0"/>
                <w:szCs w:val="21"/>
              </w:rPr>
            </w:pPr>
            <w:r>
              <w:rPr>
                <w:rFonts w:hint="eastAsia" w:ascii="宋体" w:hAnsi="宋体"/>
                <w:b/>
                <w:bCs/>
                <w:color w:val="auto"/>
                <w:kern w:val="0"/>
                <w:szCs w:val="21"/>
              </w:rPr>
              <w:t>分值</w:t>
            </w:r>
          </w:p>
        </w:tc>
      </w:tr>
      <w:tr w14:paraId="5DE7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5880C626">
            <w:pPr>
              <w:widowControl/>
              <w:wordWrap w:val="0"/>
              <w:spacing w:line="400" w:lineRule="exact"/>
              <w:jc w:val="center"/>
              <w:rPr>
                <w:rFonts w:ascii="宋体" w:hAnsi="宋体"/>
                <w:color w:val="auto"/>
                <w:kern w:val="0"/>
                <w:szCs w:val="21"/>
              </w:rPr>
            </w:pPr>
            <w:r>
              <w:rPr>
                <w:rFonts w:hint="eastAsia" w:ascii="宋体" w:hAnsi="宋体"/>
                <w:color w:val="auto"/>
                <w:kern w:val="0"/>
                <w:szCs w:val="21"/>
              </w:rPr>
              <w:t>1</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5179CD5">
            <w:pPr>
              <w:widowControl/>
              <w:wordWrap w:val="0"/>
              <w:spacing w:line="400" w:lineRule="exact"/>
              <w:jc w:val="center"/>
              <w:rPr>
                <w:rFonts w:ascii="宋体" w:hAnsi="宋体"/>
                <w:color w:val="auto"/>
                <w:kern w:val="0"/>
                <w:szCs w:val="21"/>
              </w:rPr>
            </w:pPr>
            <w:r>
              <w:rPr>
                <w:rFonts w:hint="eastAsia" w:ascii="宋体" w:hAnsi="宋体"/>
                <w:color w:val="auto"/>
                <w:kern w:val="0"/>
                <w:szCs w:val="21"/>
              </w:rPr>
              <w:t>价格分</w:t>
            </w:r>
          </w:p>
        </w:tc>
        <w:tc>
          <w:tcPr>
            <w:tcW w:w="6560" w:type="dxa"/>
            <w:tcBorders>
              <w:top w:val="single" w:color="auto" w:sz="4" w:space="0"/>
              <w:left w:val="single" w:color="auto" w:sz="4" w:space="0"/>
              <w:bottom w:val="single" w:color="auto" w:sz="4" w:space="0"/>
              <w:right w:val="single" w:color="auto" w:sz="4" w:space="0"/>
            </w:tcBorders>
            <w:noWrap w:val="0"/>
            <w:vAlign w:val="top"/>
          </w:tcPr>
          <w:p w14:paraId="38B90CB5">
            <w:pPr>
              <w:wordWrap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（1）评审价为供应商的最后报价进行政策性扣除后的价格，评审价只是作为评审时使用。最终成交供应商的成交金额等于最后报价（如有修正，以确认修正后的最后报价为准）。</w:t>
            </w:r>
          </w:p>
          <w:p w14:paraId="401CFC97">
            <w:pPr>
              <w:wordWrap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）以进入比较与评价环节的最低的评审价为基准价，基准价得分为10分。</w:t>
            </w:r>
          </w:p>
          <w:p w14:paraId="663EF7B6">
            <w:pPr>
              <w:wordWrap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）价格分计算公式：</w:t>
            </w:r>
          </w:p>
          <w:p w14:paraId="2E12BB69">
            <w:pPr>
              <w:wordWrap w:val="0"/>
              <w:adjustRightInd w:val="0"/>
              <w:snapToGrid w:val="0"/>
              <w:spacing w:line="400" w:lineRule="exact"/>
              <w:ind w:firstLine="420" w:firstLineChars="200"/>
              <w:rPr>
                <w:rFonts w:ascii="宋体" w:hAnsi="宋体"/>
                <w:bCs/>
                <w:color w:val="auto"/>
                <w:szCs w:val="21"/>
                <w:u w:val="single"/>
              </w:rPr>
            </w:pPr>
            <w:r>
              <w:rPr>
                <w:rFonts w:hint="eastAsia" w:ascii="宋体" w:hAnsi="宋体"/>
                <w:color w:val="auto"/>
                <w:szCs w:val="21"/>
              </w:rPr>
              <w:t>报价得分=（基准价/最后报价）×10分</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4BA7E89D">
            <w:pPr>
              <w:widowControl/>
              <w:wordWrap w:val="0"/>
              <w:spacing w:line="400" w:lineRule="exact"/>
              <w:jc w:val="center"/>
              <w:rPr>
                <w:rFonts w:ascii="宋体" w:hAnsi="宋体"/>
                <w:color w:val="auto"/>
                <w:kern w:val="0"/>
                <w:szCs w:val="21"/>
              </w:rPr>
            </w:pPr>
            <w:r>
              <w:rPr>
                <w:rFonts w:hint="eastAsia" w:ascii="宋体" w:hAnsi="宋体"/>
                <w:color w:val="auto"/>
                <w:kern w:val="0"/>
                <w:szCs w:val="21"/>
              </w:rPr>
              <w:t>10分</w:t>
            </w:r>
          </w:p>
        </w:tc>
      </w:tr>
      <w:tr w14:paraId="1578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2EDB29A3">
            <w:pPr>
              <w:widowControl/>
              <w:wordWrap w:val="0"/>
              <w:spacing w:line="400" w:lineRule="exact"/>
              <w:jc w:val="center"/>
              <w:rPr>
                <w:rFonts w:ascii="宋体" w:hAnsi="宋体"/>
                <w:b/>
                <w:color w:val="auto"/>
                <w:kern w:val="0"/>
                <w:szCs w:val="21"/>
              </w:rPr>
            </w:pPr>
            <w:r>
              <w:rPr>
                <w:rFonts w:hint="eastAsia" w:ascii="宋体" w:hAnsi="宋体"/>
                <w:b/>
                <w:color w:val="auto"/>
                <w:kern w:val="0"/>
                <w:szCs w:val="21"/>
              </w:rPr>
              <w:t>2</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9B7D295">
            <w:pPr>
              <w:widowControl/>
              <w:wordWrap w:val="0"/>
              <w:spacing w:line="400" w:lineRule="exact"/>
              <w:jc w:val="center"/>
              <w:rPr>
                <w:rFonts w:ascii="宋体" w:hAnsi="宋体"/>
                <w:b/>
                <w:color w:val="auto"/>
                <w:kern w:val="0"/>
                <w:szCs w:val="21"/>
              </w:rPr>
            </w:pPr>
            <w:r>
              <w:rPr>
                <w:rFonts w:hint="eastAsia" w:ascii="宋体" w:hAnsi="宋体"/>
                <w:b/>
                <w:color w:val="auto"/>
                <w:kern w:val="0"/>
                <w:szCs w:val="21"/>
              </w:rPr>
              <w:t>技术分</w:t>
            </w:r>
          </w:p>
        </w:tc>
        <w:tc>
          <w:tcPr>
            <w:tcW w:w="6560" w:type="dxa"/>
            <w:tcBorders>
              <w:top w:val="single" w:color="auto" w:sz="4" w:space="0"/>
              <w:left w:val="single" w:color="auto" w:sz="4" w:space="0"/>
              <w:bottom w:val="single" w:color="auto" w:sz="4" w:space="0"/>
              <w:right w:val="single" w:color="auto" w:sz="4" w:space="0"/>
            </w:tcBorders>
            <w:noWrap w:val="0"/>
            <w:vAlign w:val="top"/>
          </w:tcPr>
          <w:p w14:paraId="7CFDDF4B">
            <w:pPr>
              <w:widowControl/>
              <w:wordWrap w:val="0"/>
              <w:spacing w:line="400" w:lineRule="exact"/>
              <w:jc w:val="center"/>
              <w:rPr>
                <w:rFonts w:ascii="宋体" w:hAnsi="宋体"/>
                <w:b/>
                <w:color w:val="auto"/>
                <w:kern w:val="0"/>
                <w:szCs w:val="21"/>
              </w:rPr>
            </w:pPr>
            <w:r>
              <w:rPr>
                <w:rFonts w:hint="eastAsia" w:ascii="宋体" w:hAnsi="宋体"/>
                <w:b/>
                <w:color w:val="auto"/>
                <w:kern w:val="0"/>
                <w:szCs w:val="21"/>
              </w:rPr>
              <w:t>评审因素</w:t>
            </w:r>
          </w:p>
        </w:tc>
        <w:tc>
          <w:tcPr>
            <w:tcW w:w="829" w:type="dxa"/>
            <w:tcBorders>
              <w:top w:val="single" w:color="auto" w:sz="4" w:space="0"/>
              <w:left w:val="single" w:color="auto" w:sz="4" w:space="0"/>
              <w:bottom w:val="single" w:color="auto" w:sz="4" w:space="0"/>
              <w:right w:val="single" w:color="auto" w:sz="4" w:space="0"/>
            </w:tcBorders>
            <w:noWrap w:val="0"/>
            <w:vAlign w:val="top"/>
          </w:tcPr>
          <w:p w14:paraId="2F3DF24D">
            <w:pPr>
              <w:widowControl/>
              <w:wordWrap w:val="0"/>
              <w:spacing w:line="400" w:lineRule="exact"/>
              <w:jc w:val="center"/>
              <w:rPr>
                <w:rFonts w:ascii="宋体" w:hAnsi="宋体"/>
                <w:b/>
                <w:color w:val="auto"/>
                <w:kern w:val="0"/>
                <w:szCs w:val="21"/>
              </w:rPr>
            </w:pPr>
            <w:r>
              <w:rPr>
                <w:rFonts w:hint="eastAsia" w:ascii="宋体" w:hAnsi="宋体"/>
                <w:b/>
                <w:color w:val="auto"/>
                <w:kern w:val="0"/>
                <w:szCs w:val="21"/>
              </w:rPr>
              <w:t>分值</w:t>
            </w:r>
          </w:p>
        </w:tc>
      </w:tr>
      <w:tr w14:paraId="45DA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1626FE82">
            <w:pPr>
              <w:wordWrap w:val="0"/>
              <w:adjustRightInd w:val="0"/>
              <w:spacing w:line="400" w:lineRule="exact"/>
              <w:jc w:val="center"/>
              <w:textAlignment w:val="baseline"/>
              <w:rPr>
                <w:rFonts w:ascii="宋体" w:hAnsi="宋体"/>
                <w:bCs/>
                <w:color w:val="auto"/>
                <w:kern w:val="0"/>
                <w:szCs w:val="21"/>
              </w:rPr>
            </w:pPr>
            <w:r>
              <w:rPr>
                <w:rFonts w:hint="eastAsia" w:ascii="宋体" w:hAnsi="宋体"/>
                <w:bCs/>
                <w:color w:val="auto"/>
                <w:kern w:val="0"/>
                <w:szCs w:val="21"/>
              </w:rPr>
              <w:t>2.1</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F2EC76A">
            <w:pPr>
              <w:wordWrap w:val="0"/>
              <w:adjustRightInd w:val="0"/>
              <w:spacing w:line="400" w:lineRule="exact"/>
              <w:jc w:val="center"/>
              <w:textAlignment w:val="baseline"/>
              <w:rPr>
                <w:rFonts w:ascii="宋体" w:hAnsi="宋体"/>
                <w:bCs/>
                <w:color w:val="auto"/>
                <w:kern w:val="0"/>
                <w:szCs w:val="21"/>
              </w:rPr>
            </w:pPr>
            <w:r>
              <w:rPr>
                <w:rFonts w:hint="eastAsia" w:ascii="宋体" w:hAnsi="宋体"/>
                <w:bCs/>
                <w:color w:val="auto"/>
                <w:kern w:val="0"/>
                <w:szCs w:val="21"/>
              </w:rPr>
              <w:t>服务需求响应</w:t>
            </w:r>
          </w:p>
        </w:tc>
        <w:tc>
          <w:tcPr>
            <w:tcW w:w="6560" w:type="dxa"/>
            <w:tcBorders>
              <w:top w:val="single" w:color="auto" w:sz="4" w:space="0"/>
              <w:left w:val="single" w:color="auto" w:sz="4" w:space="0"/>
              <w:bottom w:val="single" w:color="auto" w:sz="4" w:space="0"/>
              <w:right w:val="single" w:color="auto" w:sz="4" w:space="0"/>
            </w:tcBorders>
            <w:noWrap w:val="0"/>
            <w:vAlign w:val="top"/>
          </w:tcPr>
          <w:p w14:paraId="44A1C5C3">
            <w:pPr>
              <w:pStyle w:val="3"/>
              <w:wordWrap w:val="0"/>
              <w:spacing w:after="0" w:line="400" w:lineRule="exact"/>
              <w:rPr>
                <w:rFonts w:ascii="宋体" w:hAnsi="宋体"/>
                <w:bCs/>
                <w:color w:val="auto"/>
                <w:szCs w:val="21"/>
              </w:rPr>
            </w:pPr>
            <w:r>
              <w:rPr>
                <w:rFonts w:hint="eastAsia" w:ascii="宋体" w:hAnsi="宋体"/>
                <w:bCs/>
                <w:color w:val="auto"/>
                <w:szCs w:val="21"/>
              </w:rPr>
              <w:t>所有服务需求的参数及功能完全满足</w:t>
            </w:r>
            <w:r>
              <w:rPr>
                <w:rFonts w:hint="eastAsia" w:ascii="宋体" w:hAnsi="宋体"/>
                <w:bCs/>
                <w:color w:val="auto"/>
                <w:szCs w:val="21"/>
                <w:lang w:val="en-US" w:eastAsia="zh-CN"/>
              </w:rPr>
              <w:t>响应</w:t>
            </w:r>
            <w:r>
              <w:rPr>
                <w:rFonts w:hint="eastAsia" w:ascii="宋体" w:hAnsi="宋体"/>
                <w:bCs/>
                <w:color w:val="auto"/>
                <w:szCs w:val="21"/>
              </w:rPr>
              <w:t>文件要求得基本分1</w:t>
            </w:r>
            <w:r>
              <w:rPr>
                <w:rFonts w:hint="eastAsia" w:ascii="宋体" w:hAnsi="宋体"/>
                <w:bCs/>
                <w:color w:val="auto"/>
                <w:szCs w:val="21"/>
                <w:lang w:val="en-US" w:eastAsia="zh-CN"/>
              </w:rPr>
              <w:t>0</w:t>
            </w:r>
            <w:r>
              <w:rPr>
                <w:rFonts w:hint="eastAsia" w:ascii="宋体" w:hAnsi="宋体"/>
                <w:bCs/>
                <w:color w:val="auto"/>
                <w:szCs w:val="21"/>
              </w:rPr>
              <w:t>分，每有1项非标“▲”的技术指标或要求发生负偏离或漏项的扣</w:t>
            </w:r>
            <w:r>
              <w:rPr>
                <w:rFonts w:hint="eastAsia" w:ascii="宋体" w:hAnsi="宋体"/>
                <w:bCs/>
                <w:color w:val="auto"/>
                <w:szCs w:val="21"/>
                <w:lang w:val="en-US" w:eastAsia="zh-CN"/>
              </w:rPr>
              <w:t>1</w:t>
            </w:r>
            <w:r>
              <w:rPr>
                <w:rFonts w:hint="eastAsia" w:ascii="宋体" w:hAnsi="宋体"/>
                <w:bCs/>
                <w:color w:val="auto"/>
                <w:szCs w:val="21"/>
              </w:rPr>
              <w:t>分，最多扣完本项分值。</w:t>
            </w:r>
          </w:p>
          <w:p w14:paraId="7A2BFA76">
            <w:pPr>
              <w:pStyle w:val="3"/>
              <w:wordWrap w:val="0"/>
              <w:spacing w:after="0" w:line="400" w:lineRule="exact"/>
              <w:rPr>
                <w:rFonts w:ascii="宋体" w:hAnsi="宋体"/>
                <w:bCs/>
                <w:color w:val="auto"/>
                <w:szCs w:val="21"/>
              </w:rPr>
            </w:pPr>
            <w:r>
              <w:rPr>
                <w:rFonts w:hint="eastAsia" w:ascii="宋体" w:hAnsi="宋体"/>
                <w:b/>
                <w:color w:val="auto"/>
                <w:szCs w:val="21"/>
              </w:rPr>
              <w:t>说明：有一项标“▲”的技术指标或要求发生负偏离，或者非标“▲”的技术指标或要求发生负偏离总数达9项按无效处理。</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18987B9B">
            <w:pPr>
              <w:wordWrap w:val="0"/>
              <w:spacing w:line="400" w:lineRule="exact"/>
              <w:jc w:val="center"/>
              <w:rPr>
                <w:rFonts w:ascii="宋体" w:hAnsi="宋体"/>
                <w:color w:val="auto"/>
                <w:kern w:val="0"/>
                <w:szCs w:val="21"/>
              </w:rPr>
            </w:pPr>
            <w:r>
              <w:rPr>
                <w:rFonts w:hint="eastAsia" w:ascii="宋体" w:hAnsi="宋体"/>
                <w:color w:val="auto"/>
                <w:kern w:val="0"/>
                <w:szCs w:val="21"/>
              </w:rPr>
              <w:t>1</w:t>
            </w:r>
            <w:r>
              <w:rPr>
                <w:rFonts w:hint="eastAsia" w:ascii="宋体" w:hAnsi="宋体"/>
                <w:color w:val="auto"/>
                <w:kern w:val="0"/>
                <w:szCs w:val="21"/>
                <w:lang w:val="en-US" w:eastAsia="zh-CN"/>
              </w:rPr>
              <w:t>0</w:t>
            </w:r>
            <w:r>
              <w:rPr>
                <w:rFonts w:hint="eastAsia" w:ascii="宋体" w:hAnsi="宋体"/>
                <w:color w:val="auto"/>
                <w:kern w:val="0"/>
                <w:szCs w:val="21"/>
              </w:rPr>
              <w:t>分</w:t>
            </w:r>
          </w:p>
        </w:tc>
      </w:tr>
      <w:tr w14:paraId="474C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390EF37D">
            <w:pPr>
              <w:wordWrap w:val="0"/>
              <w:adjustRightInd w:val="0"/>
              <w:spacing w:line="400" w:lineRule="exact"/>
              <w:jc w:val="center"/>
              <w:textAlignment w:val="baseline"/>
              <w:rPr>
                <w:rFonts w:ascii="宋体" w:hAnsi="宋体"/>
                <w:bCs/>
                <w:color w:val="auto"/>
                <w:kern w:val="0"/>
                <w:szCs w:val="21"/>
              </w:rPr>
            </w:pPr>
            <w:r>
              <w:rPr>
                <w:rFonts w:hint="eastAsia" w:ascii="宋体" w:hAnsi="宋体"/>
                <w:bCs/>
                <w:color w:val="auto"/>
                <w:kern w:val="0"/>
                <w:szCs w:val="21"/>
              </w:rPr>
              <w:t>2.2</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2DB3D9A">
            <w:pPr>
              <w:pStyle w:val="12"/>
              <w:wordWrap w:val="0"/>
              <w:spacing w:line="400" w:lineRule="exact"/>
              <w:jc w:val="center"/>
              <w:rPr>
                <w:rFonts w:ascii="宋体" w:hAnsi="宋体"/>
                <w:color w:val="auto"/>
                <w:sz w:val="21"/>
                <w:szCs w:val="21"/>
              </w:rPr>
            </w:pPr>
            <w:r>
              <w:rPr>
                <w:rFonts w:hint="eastAsia" w:ascii="宋体" w:hAnsi="宋体"/>
                <w:color w:val="auto"/>
                <w:sz w:val="21"/>
                <w:szCs w:val="21"/>
              </w:rPr>
              <w:t>功能</w:t>
            </w:r>
          </w:p>
          <w:p w14:paraId="73AB3B86">
            <w:pPr>
              <w:pStyle w:val="12"/>
              <w:wordWrap w:val="0"/>
              <w:spacing w:line="400" w:lineRule="exact"/>
              <w:jc w:val="center"/>
              <w:rPr>
                <w:rFonts w:ascii="宋体" w:hAnsi="宋体"/>
                <w:color w:val="auto"/>
                <w:sz w:val="21"/>
                <w:szCs w:val="21"/>
              </w:rPr>
            </w:pPr>
            <w:r>
              <w:rPr>
                <w:rFonts w:hint="eastAsia" w:ascii="宋体" w:hAnsi="宋体"/>
                <w:color w:val="auto"/>
                <w:sz w:val="21"/>
                <w:szCs w:val="21"/>
              </w:rPr>
              <w:t>演示</w:t>
            </w:r>
          </w:p>
        </w:tc>
        <w:tc>
          <w:tcPr>
            <w:tcW w:w="6560" w:type="dxa"/>
            <w:tcBorders>
              <w:top w:val="single" w:color="auto" w:sz="4" w:space="0"/>
              <w:left w:val="single" w:color="auto" w:sz="4" w:space="0"/>
              <w:bottom w:val="single" w:color="auto" w:sz="4" w:space="0"/>
              <w:right w:val="single" w:color="auto" w:sz="4" w:space="0"/>
            </w:tcBorders>
            <w:noWrap w:val="0"/>
            <w:vAlign w:val="center"/>
          </w:tcPr>
          <w:p w14:paraId="33430325">
            <w:pPr>
              <w:wordWrap w:val="0"/>
              <w:spacing w:line="400" w:lineRule="exact"/>
              <w:rPr>
                <w:rFonts w:ascii="宋体" w:hAnsi="宋体"/>
                <w:bCs/>
                <w:color w:val="auto"/>
                <w:szCs w:val="21"/>
              </w:rPr>
            </w:pPr>
            <w:r>
              <w:rPr>
                <w:rFonts w:hint="eastAsia" w:ascii="宋体" w:hAnsi="宋体"/>
                <w:bCs/>
                <w:color w:val="auto"/>
                <w:szCs w:val="21"/>
              </w:rPr>
              <w:t>为更好展示功能，供应商采取原系统操作演示，不接受视频动画、PPT、图像、图片的演示，时间不超过25 分钟。由</w:t>
            </w:r>
            <w:r>
              <w:rPr>
                <w:rFonts w:hint="eastAsia" w:ascii="宋体" w:hAnsi="宋体"/>
                <w:bCs/>
                <w:color w:val="auto"/>
                <w:szCs w:val="21"/>
                <w:lang w:val="en-US" w:eastAsia="zh-CN"/>
              </w:rPr>
              <w:t>评标</w:t>
            </w:r>
            <w:r>
              <w:rPr>
                <w:rFonts w:hint="eastAsia" w:ascii="宋体" w:hAnsi="宋体"/>
                <w:bCs/>
                <w:color w:val="auto"/>
                <w:szCs w:val="21"/>
              </w:rPr>
              <w:t>小组根据演示情况评审并独立打分，每完整演示1项参数及性能满足采购文件要求的得2分，最多得</w:t>
            </w:r>
            <w:r>
              <w:rPr>
                <w:rFonts w:hint="eastAsia" w:ascii="宋体" w:hAnsi="宋体"/>
                <w:bCs/>
                <w:color w:val="auto"/>
                <w:szCs w:val="21"/>
                <w:lang w:val="en-US" w:eastAsia="zh-CN"/>
              </w:rPr>
              <w:t>30</w:t>
            </w:r>
            <w:r>
              <w:rPr>
                <w:rFonts w:hint="eastAsia" w:ascii="宋体" w:hAnsi="宋体"/>
                <w:bCs/>
                <w:color w:val="auto"/>
                <w:szCs w:val="21"/>
              </w:rPr>
              <w:t>分；不参加演示得0分</w:t>
            </w:r>
            <w:r>
              <w:rPr>
                <w:rFonts w:hint="eastAsia" w:ascii="宋体" w:hAnsi="宋体"/>
                <w:bCs/>
                <w:color w:val="auto"/>
                <w:szCs w:val="21"/>
                <w:lang w:eastAsia="zh-CN"/>
              </w:rPr>
              <w:t>，</w:t>
            </w:r>
            <w:r>
              <w:rPr>
                <w:rFonts w:hint="eastAsia" w:ascii="宋体" w:hAnsi="宋体"/>
                <w:b/>
                <w:bCs w:val="0"/>
                <w:color w:val="auto"/>
                <w:szCs w:val="21"/>
                <w:lang w:val="en-US" w:eastAsia="zh-CN"/>
              </w:rPr>
              <w:t>所有演示都要用</w:t>
            </w:r>
            <w:r>
              <w:rPr>
                <w:rFonts w:hint="eastAsia" w:ascii="宋体" w:hAnsi="宋体" w:eastAsia="宋体" w:cs="Times New Roman"/>
                <w:b/>
                <w:bCs w:val="0"/>
                <w:color w:val="auto"/>
                <w:szCs w:val="21"/>
                <w:lang w:val="en-US" w:eastAsia="zh-CN"/>
              </w:rPr>
              <w:t>自有知识产权的软件进行演示，不是自有软件的演示不得分</w:t>
            </w:r>
            <w:r>
              <w:rPr>
                <w:rFonts w:hint="eastAsia" w:ascii="宋体" w:hAnsi="宋体" w:eastAsia="宋体" w:cs="Times New Roman"/>
                <w:bCs/>
                <w:color w:val="auto"/>
                <w:szCs w:val="21"/>
              </w:rPr>
              <w:t>。</w:t>
            </w:r>
          </w:p>
          <w:p w14:paraId="365B050C">
            <w:pPr>
              <w:pStyle w:val="13"/>
              <w:widowControl w:val="0"/>
              <w:numPr>
                <w:ilvl w:val="0"/>
                <w:numId w:val="1"/>
              </w:numPr>
              <w:wordWrap w:val="0"/>
              <w:spacing w:line="400" w:lineRule="exact"/>
              <w:ind w:firstLine="0" w:firstLineChars="0"/>
              <w:rPr>
                <w:rFonts w:hint="eastAsia" w:cs="Times New Roman"/>
                <w:bCs/>
                <w:color w:val="auto"/>
                <w:sz w:val="21"/>
                <w:szCs w:val="21"/>
              </w:rPr>
            </w:pPr>
            <w:r>
              <w:rPr>
                <w:rFonts w:hint="eastAsia" w:cs="Times New Roman"/>
                <w:bCs/>
                <w:color w:val="auto"/>
                <w:sz w:val="21"/>
                <w:szCs w:val="21"/>
              </w:rPr>
              <w:t>支持生成试卷分析报告，报告中需至少包含试卷难度、区分度统计，成绩正态分布，成绩标准差、方差、试卷信度等分析数据项。</w:t>
            </w:r>
          </w:p>
          <w:p w14:paraId="059B84F4">
            <w:pPr>
              <w:pStyle w:val="13"/>
              <w:widowControl w:val="0"/>
              <w:numPr>
                <w:ilvl w:val="0"/>
                <w:numId w:val="0"/>
              </w:numPr>
              <w:wordWrap w:val="0"/>
              <w:spacing w:line="400" w:lineRule="exact"/>
              <w:ind w:firstLine="420" w:firstLineChars="20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 xml:space="preserve">发布考试支持自动随机组卷，组多套试卷时，可设置试卷试题重复率为0、不高于50%、不高于80%等，系统可自动检测组卷重复率是否达标，并给出提示。 </w:t>
            </w:r>
          </w:p>
          <w:p w14:paraId="5FE60E9B">
            <w:pPr>
              <w:ind w:firstLine="420" w:firstLineChars="200"/>
              <w:rPr>
                <w:color w:val="auto"/>
              </w:rPr>
            </w:pPr>
            <w:r>
              <w:rPr>
                <w:rFonts w:hint="eastAsia" w:cs="Times New Roman"/>
                <w:bCs/>
                <w:color w:val="auto"/>
                <w:sz w:val="21"/>
                <w:szCs w:val="21"/>
              </w:rPr>
              <w:t xml:space="preserve">支持设置试卷导出模板，可设置试卷装订线、试卷页头页尾、考试承诺书、试卷页码、打印效果（A3、A4、B4版式）等，导出试卷是可一并导出答题卡，答案解析等。 </w:t>
            </w:r>
          </w:p>
          <w:p w14:paraId="23B7976F">
            <w:pPr>
              <w:pStyle w:val="13"/>
              <w:widowControl w:val="0"/>
              <w:wordWrap w:val="0"/>
              <w:spacing w:line="400" w:lineRule="exact"/>
              <w:ind w:firstLine="0" w:firstLineChars="0"/>
              <w:rPr>
                <w:rFonts w:cs="Times New Roman"/>
                <w:bCs/>
                <w:color w:val="auto"/>
                <w:sz w:val="21"/>
                <w:szCs w:val="21"/>
              </w:rPr>
            </w:pPr>
            <w:r>
              <w:rPr>
                <w:rFonts w:hint="eastAsia" w:cs="Times New Roman"/>
                <w:bCs/>
                <w:color w:val="auto"/>
                <w:sz w:val="21"/>
                <w:szCs w:val="21"/>
              </w:rPr>
              <w:t>（2）</w:t>
            </w:r>
            <w:r>
              <w:rPr>
                <w:rFonts w:hint="eastAsia" w:cs="Times New Roman"/>
                <w:bCs/>
                <w:color w:val="auto"/>
                <w:sz w:val="21"/>
                <w:szCs w:val="21"/>
                <w:lang w:val="en-US" w:eastAsia="zh-CN"/>
              </w:rPr>
              <w:t>支持</w:t>
            </w:r>
            <w:r>
              <w:rPr>
                <w:rFonts w:hint="eastAsia" w:cs="Times New Roman"/>
                <w:bCs/>
                <w:color w:val="auto"/>
                <w:sz w:val="21"/>
                <w:szCs w:val="21"/>
              </w:rPr>
              <w:t>教师</w:t>
            </w:r>
            <w:r>
              <w:rPr>
                <w:rFonts w:hint="eastAsia" w:cs="Times New Roman"/>
                <w:bCs/>
                <w:color w:val="auto"/>
                <w:sz w:val="21"/>
                <w:szCs w:val="21"/>
                <w:lang w:val="en-US" w:eastAsia="zh-CN"/>
              </w:rPr>
              <w:t>在</w:t>
            </w:r>
            <w:r>
              <w:rPr>
                <w:rFonts w:hint="eastAsia" w:cs="Times New Roman"/>
                <w:bCs/>
                <w:color w:val="auto"/>
                <w:sz w:val="21"/>
                <w:szCs w:val="21"/>
              </w:rPr>
              <w:t>知识图谱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p>
          <w:p w14:paraId="1C0D9052">
            <w:pPr>
              <w:pStyle w:val="13"/>
              <w:widowControl w:val="0"/>
              <w:wordWrap w:val="0"/>
              <w:spacing w:line="400" w:lineRule="exact"/>
              <w:ind w:firstLine="0" w:firstLineChars="0"/>
              <w:rPr>
                <w:rFonts w:hint="eastAsia" w:eastAsia="宋体" w:cs="Times New Roman"/>
                <w:bCs/>
                <w:color w:val="auto"/>
                <w:sz w:val="21"/>
                <w:szCs w:val="21"/>
                <w:lang w:eastAsia="zh-CN"/>
              </w:rPr>
            </w:pPr>
            <w:r>
              <w:rPr>
                <w:rFonts w:hint="eastAsia" w:cs="Times New Roman"/>
                <w:bCs/>
                <w:color w:val="auto"/>
                <w:sz w:val="21"/>
                <w:szCs w:val="21"/>
              </w:rPr>
              <w:t>（3）知识图谱统计功能：支持教师查看每个知识点的分析统计，查看知识点平均完成率、平均掌握率、完成率分布和掌握率分布等。支持查看班级下每个学生或某个学生的某个或全部知识点平均完成情况、平均掌握情况、课程资料阅读情况等。支持学生查看本人的知识点统计分析，包括每个知识点的完成情况、掌握情况</w:t>
            </w:r>
            <w:r>
              <w:rPr>
                <w:rFonts w:hint="eastAsia" w:cs="Times New Roman"/>
                <w:bCs/>
                <w:color w:val="auto"/>
                <w:sz w:val="21"/>
                <w:szCs w:val="21"/>
                <w:lang w:eastAsia="zh-CN"/>
              </w:rPr>
              <w:t>。</w:t>
            </w:r>
          </w:p>
          <w:p w14:paraId="2715BCB5">
            <w:pPr>
              <w:pStyle w:val="13"/>
              <w:widowControl w:val="0"/>
              <w:wordWrap w:val="0"/>
              <w:spacing w:line="400" w:lineRule="exact"/>
              <w:ind w:firstLine="0" w:firstLineChars="0"/>
              <w:rPr>
                <w:rFonts w:cs="Times New Roman"/>
                <w:bCs/>
                <w:color w:val="auto"/>
                <w:sz w:val="21"/>
                <w:szCs w:val="21"/>
              </w:rPr>
            </w:pPr>
            <w:r>
              <w:rPr>
                <w:rFonts w:hint="eastAsia" w:cs="Times New Roman"/>
                <w:bCs/>
                <w:color w:val="auto"/>
                <w:sz w:val="21"/>
                <w:szCs w:val="21"/>
              </w:rPr>
              <w:t>（4）支持不借助任何第三方投屏软件，通过移动端投屏功能把移动端图片、文档、课程相关图片、视频资源直接在投在电脑屏幕上展示。</w:t>
            </w:r>
          </w:p>
          <w:p w14:paraId="2789EB50">
            <w:pPr>
              <w:pStyle w:val="13"/>
              <w:widowControl w:val="0"/>
              <w:wordWrap w:val="0"/>
              <w:spacing w:line="400" w:lineRule="exact"/>
              <w:ind w:firstLine="0" w:firstLineChars="0"/>
              <w:rPr>
                <w:rFonts w:cs="Times New Roman"/>
                <w:bCs/>
                <w:color w:val="auto"/>
                <w:sz w:val="21"/>
                <w:szCs w:val="21"/>
              </w:rPr>
            </w:pPr>
            <w:r>
              <w:rPr>
                <w:rFonts w:hint="eastAsia" w:cs="Times New Roman"/>
                <w:bCs/>
                <w:color w:val="auto"/>
                <w:sz w:val="21"/>
                <w:szCs w:val="21"/>
              </w:rPr>
              <w:t>（5）移动端和PC端均内置教学包，教师可使用教学包在移动端建课教学，示范教学包包含章节视频、课件、资料、试题库，可以根据学校属性选择、修改。</w:t>
            </w:r>
          </w:p>
          <w:p w14:paraId="0EA87A4D">
            <w:pPr>
              <w:pStyle w:val="13"/>
              <w:widowControl w:val="0"/>
              <w:wordWrap w:val="0"/>
              <w:spacing w:line="400" w:lineRule="exact"/>
              <w:ind w:firstLine="0" w:firstLineChars="0"/>
              <w:rPr>
                <w:rFonts w:cs="Times New Roman"/>
                <w:bCs/>
                <w:color w:val="auto"/>
                <w:sz w:val="21"/>
                <w:szCs w:val="21"/>
              </w:rPr>
            </w:pPr>
            <w:r>
              <w:rPr>
                <w:rFonts w:hint="eastAsia" w:cs="Times New Roman"/>
                <w:bCs/>
                <w:color w:val="auto"/>
                <w:sz w:val="21"/>
                <w:szCs w:val="21"/>
              </w:rPr>
              <w:t>（6）支持在课程章节中插入直播教学，可对直播方式进行设置，包括pc客户端直播、app直播或推流直播等，所有已添加直播由个人直播管理后台统一管理。</w:t>
            </w:r>
          </w:p>
          <w:p w14:paraId="3D8D3948">
            <w:pPr>
              <w:pStyle w:val="13"/>
              <w:widowControl w:val="0"/>
              <w:wordWrap w:val="0"/>
              <w:spacing w:line="400" w:lineRule="exact"/>
              <w:ind w:firstLine="0" w:firstLineChars="0"/>
              <w:rPr>
                <w:rFonts w:cs="Times New Roman"/>
                <w:bCs/>
                <w:color w:val="auto"/>
                <w:sz w:val="21"/>
                <w:szCs w:val="21"/>
              </w:rPr>
            </w:pPr>
            <w:r>
              <w:rPr>
                <w:rFonts w:hint="eastAsia" w:cs="Times New Roman"/>
                <w:bCs/>
                <w:color w:val="auto"/>
                <w:sz w:val="21"/>
                <w:szCs w:val="21"/>
              </w:rPr>
              <w:t>（7）支持在线创建知识点，知识点支持手动创建与批量导入；支持一键引用其它课程知识点。（系统支持编辑知识点属性，设置教学目标；设置认知维度，如记忆维度、应用维度、创造维度等，支持设置前后关联知识点。）</w:t>
            </w:r>
          </w:p>
          <w:p w14:paraId="56E54C53">
            <w:pPr>
              <w:pStyle w:val="13"/>
              <w:widowControl w:val="0"/>
              <w:wordWrap w:val="0"/>
              <w:spacing w:line="400" w:lineRule="exact"/>
              <w:ind w:firstLine="0" w:firstLineChars="0"/>
              <w:rPr>
                <w:rFonts w:cs="Times New Roman"/>
                <w:bCs/>
                <w:color w:val="auto"/>
                <w:sz w:val="21"/>
                <w:szCs w:val="21"/>
              </w:rPr>
            </w:pPr>
            <w:r>
              <w:rPr>
                <w:rFonts w:hint="eastAsia" w:cs="Times New Roman"/>
                <w:bCs/>
                <w:color w:val="auto"/>
                <w:sz w:val="21"/>
                <w:szCs w:val="21"/>
              </w:rPr>
              <w:t>（8）支持教师导出学生综合成绩，同时支持成绩分项导出，成绩分项至少支持讨论详情、作业详情、考试详情、音视频观看详情、章节测验详情等，并在线发放电子证书。</w:t>
            </w:r>
          </w:p>
          <w:p w14:paraId="1E26C368">
            <w:pPr>
              <w:pStyle w:val="13"/>
              <w:widowControl w:val="0"/>
              <w:wordWrap w:val="0"/>
              <w:spacing w:line="400" w:lineRule="exact"/>
              <w:ind w:firstLine="0" w:firstLineChars="0"/>
              <w:rPr>
                <w:rFonts w:cs="Times New Roman"/>
                <w:bCs/>
                <w:color w:val="auto"/>
                <w:sz w:val="21"/>
                <w:szCs w:val="21"/>
              </w:rPr>
            </w:pPr>
            <w:r>
              <w:rPr>
                <w:rFonts w:hint="eastAsia" w:cs="Times New Roman"/>
                <w:bCs/>
                <w:color w:val="auto"/>
                <w:sz w:val="21"/>
                <w:szCs w:val="21"/>
              </w:rPr>
              <w:t>（9）教师通过点击课表中课程，可直接进入课程详情页面，支持编辑上课方式、上课地点，可在课表中直接发起课堂签到、课堂投票、选人、抢答等课堂活动；支持班级学生管理、教学日志编写、教案编写。</w:t>
            </w:r>
          </w:p>
          <w:p w14:paraId="5C537EEF">
            <w:pPr>
              <w:pStyle w:val="13"/>
              <w:widowControl w:val="0"/>
              <w:wordWrap w:val="0"/>
              <w:spacing w:line="400" w:lineRule="exact"/>
              <w:ind w:firstLine="0" w:firstLineChars="0"/>
              <w:rPr>
                <w:rFonts w:cs="Times New Roman"/>
                <w:bCs/>
                <w:color w:val="auto"/>
                <w:sz w:val="21"/>
                <w:szCs w:val="21"/>
              </w:rPr>
            </w:pPr>
            <w:r>
              <w:rPr>
                <w:rFonts w:hint="eastAsia" w:cs="Times New Roman"/>
                <w:bCs/>
                <w:color w:val="auto"/>
                <w:sz w:val="21"/>
                <w:szCs w:val="21"/>
              </w:rPr>
              <w:t>（10）支持课程资源编辑器，编辑器需适应教师使用word/wps等软件习惯，支持设置字体颜色修改、行距、格式设置，支持文本格式刷。（11）支持教学视频任意时间点插入课程知识图谱中已建设完成的知识点，并拖动修改位置；支持教学视频任意时间点插入批注，批注可在线编辑。</w:t>
            </w:r>
          </w:p>
          <w:p w14:paraId="382F8264">
            <w:pPr>
              <w:pStyle w:val="13"/>
              <w:widowControl w:val="0"/>
              <w:wordWrap w:val="0"/>
              <w:spacing w:line="400" w:lineRule="exact"/>
              <w:ind w:firstLine="0" w:firstLineChars="0"/>
              <w:rPr>
                <w:rFonts w:hint="eastAsia" w:eastAsia="宋体" w:cs="Times New Roman"/>
                <w:bCs/>
                <w:color w:val="auto"/>
                <w:sz w:val="21"/>
                <w:szCs w:val="21"/>
                <w:lang w:eastAsia="zh-CN"/>
              </w:rPr>
            </w:pPr>
            <w:r>
              <w:rPr>
                <w:rFonts w:hint="eastAsia" w:cs="Times New Roman"/>
                <w:bCs/>
                <w:color w:val="auto"/>
                <w:sz w:val="21"/>
                <w:szCs w:val="21"/>
              </w:rPr>
              <w:t>（12）</w:t>
            </w:r>
            <w:r>
              <w:rPr>
                <w:rFonts w:hint="eastAsia" w:cs="Times New Roman"/>
                <w:bCs/>
                <w:color w:val="auto"/>
                <w:sz w:val="21"/>
                <w:szCs w:val="21"/>
                <w:lang w:val="en-US" w:eastAsia="zh-CN"/>
              </w:rPr>
              <w:t>支持</w:t>
            </w:r>
            <w:r>
              <w:rPr>
                <w:rFonts w:hint="eastAsia" w:cs="Times New Roman"/>
                <w:bCs/>
                <w:color w:val="auto"/>
                <w:sz w:val="21"/>
                <w:szCs w:val="21"/>
              </w:rPr>
              <w:t>智能推荐：基于图谱的推荐，融合基于内容和协同过滤等多种推荐技术，给学生推荐更加针对性的内容。知识图谱学生端，学生学习知识点时，系统支持自动推荐知识点相关词条、开放课、期刊、图书、视频、文档、音频、链接、图片等拓展资源，并支持学生自主换选一批推荐资源</w:t>
            </w:r>
            <w:r>
              <w:rPr>
                <w:rFonts w:hint="eastAsia" w:cs="Times New Roman"/>
                <w:bCs/>
                <w:color w:val="auto"/>
                <w:sz w:val="21"/>
                <w:szCs w:val="21"/>
                <w:lang w:eastAsia="zh-CN"/>
              </w:rPr>
              <w:t>。</w:t>
            </w:r>
          </w:p>
          <w:p w14:paraId="11FC9A66">
            <w:pPr>
              <w:pStyle w:val="13"/>
              <w:widowControl w:val="0"/>
              <w:wordWrap w:val="0"/>
              <w:spacing w:line="400" w:lineRule="exact"/>
              <w:ind w:firstLine="0" w:firstLineChars="0"/>
              <w:rPr>
                <w:rFonts w:cs="Times New Roman"/>
                <w:bCs/>
                <w:color w:val="auto"/>
                <w:sz w:val="21"/>
                <w:szCs w:val="21"/>
              </w:rPr>
            </w:pPr>
            <w:r>
              <w:rPr>
                <w:rFonts w:hint="eastAsia" w:cs="Times New Roman"/>
                <w:bCs/>
                <w:color w:val="auto"/>
                <w:sz w:val="21"/>
                <w:szCs w:val="21"/>
              </w:rPr>
              <w:t>（13）</w:t>
            </w:r>
            <w:r>
              <w:rPr>
                <w:rFonts w:hint="eastAsia" w:cs="Times New Roman"/>
                <w:bCs/>
                <w:color w:val="auto"/>
                <w:sz w:val="21"/>
                <w:szCs w:val="21"/>
                <w:lang w:val="en-US" w:eastAsia="zh-CN"/>
              </w:rPr>
              <w:t>支持</w:t>
            </w:r>
            <w:r>
              <w:rPr>
                <w:rFonts w:hint="eastAsia" w:cs="Times New Roman"/>
                <w:bCs/>
                <w:color w:val="auto"/>
                <w:sz w:val="21"/>
                <w:szCs w:val="21"/>
              </w:rPr>
              <w:t>字幕翻译：观看章节视频时支持选择语言显示翻译字幕，通过多语言智能翻译，课程实时呈现双语字幕，实现国际化教学过程中的无障碍交流。</w:t>
            </w:r>
          </w:p>
          <w:p w14:paraId="335BB303">
            <w:pPr>
              <w:pStyle w:val="13"/>
              <w:widowControl w:val="0"/>
              <w:wordWrap w:val="0"/>
              <w:spacing w:line="400" w:lineRule="exact"/>
              <w:ind w:firstLine="0" w:firstLineChars="0"/>
              <w:rPr>
                <w:rFonts w:hint="eastAsia" w:cs="Times New Roman"/>
                <w:bCs/>
                <w:color w:val="auto"/>
                <w:sz w:val="21"/>
                <w:szCs w:val="21"/>
              </w:rPr>
            </w:pPr>
            <w:r>
              <w:rPr>
                <w:rFonts w:hint="eastAsia" w:cs="Times New Roman"/>
                <w:bCs/>
                <w:color w:val="auto"/>
                <w:sz w:val="21"/>
                <w:szCs w:val="21"/>
              </w:rPr>
              <w:t>（14）支持自定义创建门户时，可选择平台提供的门户模板，至少提供20个不同风格模板供选择。支持管理员用户自定义设置门户访问权限，无需权限或必须登陆后访问；可自定义设置学校门户域名。</w:t>
            </w:r>
          </w:p>
          <w:p w14:paraId="02F7F10F">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w:t>
            </w:r>
            <w:r>
              <w:rPr>
                <w:rFonts w:hint="eastAsia" w:ascii="宋体" w:hAnsi="宋体" w:eastAsia="宋体" w:cs="Times New Roman"/>
                <w:bCs/>
                <w:color w:val="auto"/>
                <w:sz w:val="21"/>
                <w:szCs w:val="21"/>
                <w:lang w:val="en-US" w:eastAsia="zh-CN"/>
              </w:rPr>
              <w:t>15</w:t>
            </w:r>
            <w:r>
              <w:rPr>
                <w:rFonts w:hint="eastAsia" w:ascii="宋体" w:hAnsi="宋体" w:eastAsia="宋体" w:cs="Times New Roman"/>
                <w:bCs/>
                <w:color w:val="auto"/>
                <w:sz w:val="21"/>
                <w:szCs w:val="21"/>
              </w:rPr>
              <w:t>）课程内容安全检测平台</w:t>
            </w:r>
          </w:p>
          <w:p w14:paraId="7DD585BF">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1)课程文本检测</w:t>
            </w:r>
          </w:p>
          <w:p w14:paraId="74493799">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支持基于快速规则算法过滤特定敏感文本；</w:t>
            </w:r>
          </w:p>
          <w:p w14:paraId="4DFF3BB6">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支持基于文本模型，通过对文本进行聚类和语义分析进行敏感识别；</w:t>
            </w:r>
          </w:p>
          <w:p w14:paraId="7C5228FF">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支持检测涉政、谩骂、灌水等七种类型的敏感文本；</w:t>
            </w:r>
          </w:p>
          <w:p w14:paraId="6080D575">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支持对变种敏感文本检测；</w:t>
            </w:r>
          </w:p>
          <w:p w14:paraId="6BE00363">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支持对用户自定义的敏感内容进行检测；</w:t>
            </w:r>
          </w:p>
          <w:p w14:paraId="22F5B2A2">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2)课程图片检测</w:t>
            </w:r>
          </w:p>
          <w:p w14:paraId="2BC328D0">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支持根据图片分类模型对敏感图片进行识别；</w:t>
            </w:r>
          </w:p>
          <w:p w14:paraId="57653387">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支持根据图片目标检测对图片中小目标敏感内容识别；</w:t>
            </w:r>
          </w:p>
          <w:p w14:paraId="26281E49">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支持根据用户自定义的敏感图片进行敏感识别比对；</w:t>
            </w:r>
          </w:p>
          <w:p w14:paraId="014DD20B">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支持根据人像 AI 模型对涉政、违禁人物进行人脸识别；</w:t>
            </w:r>
          </w:p>
          <w:p w14:paraId="3C64F494">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支持检测涉政、色情、违禁等六种类型的敏感图片检测；</w:t>
            </w:r>
          </w:p>
          <w:p w14:paraId="58BE4BC8">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3)课程视频检测</w:t>
            </w:r>
          </w:p>
          <w:p w14:paraId="22846FBC">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支持对离线视频进行敏感内容检测；</w:t>
            </w:r>
          </w:p>
          <w:p w14:paraId="379A9E7B">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视频的分类识别基于图片检测识别进行，可实现图片检测的全类检测；</w:t>
            </w:r>
          </w:p>
          <w:p w14:paraId="061FA56D">
            <w:pPr>
              <w:pStyle w:val="13"/>
              <w:widowControl w:val="0"/>
              <w:wordWrap w:val="0"/>
              <w:spacing w:line="400" w:lineRule="exact"/>
              <w:ind w:firstLine="0" w:firstLineChars="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4)课程文档检测</w:t>
            </w:r>
          </w:p>
          <w:p w14:paraId="2131B23F">
            <w:pPr>
              <w:pStyle w:val="13"/>
              <w:widowControl w:val="0"/>
              <w:wordWrap w:val="0"/>
              <w:spacing w:line="400" w:lineRule="exact"/>
              <w:ind w:firstLine="0" w:firstLineChars="0"/>
              <w:rPr>
                <w:color w:val="auto"/>
              </w:rPr>
            </w:pPr>
            <w:r>
              <w:rPr>
                <w:rFonts w:hint="eastAsia" w:ascii="宋体" w:hAnsi="宋体" w:eastAsia="宋体" w:cs="Times New Roman"/>
                <w:bCs/>
                <w:color w:val="auto"/>
                <w:sz w:val="21"/>
                <w:szCs w:val="21"/>
              </w:rPr>
              <w:t>支持对 word、txt、ppt 等多种格式文档内容进行解析，并还原文档位置；文档检测模型基于文本检测与图片检测，可实现文本检测与图片检测的全类检测；</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7BF23A10">
            <w:pPr>
              <w:wordWrap w:val="0"/>
              <w:spacing w:line="400" w:lineRule="exact"/>
              <w:jc w:val="center"/>
              <w:rPr>
                <w:rFonts w:ascii="宋体" w:hAnsi="宋体"/>
                <w:color w:val="auto"/>
                <w:kern w:val="0"/>
                <w:szCs w:val="21"/>
              </w:rPr>
            </w:pPr>
            <w:r>
              <w:rPr>
                <w:rFonts w:hint="eastAsia" w:ascii="宋体" w:hAnsi="宋体"/>
                <w:color w:val="auto"/>
                <w:kern w:val="0"/>
                <w:szCs w:val="21"/>
                <w:lang w:val="en-US" w:eastAsia="zh-CN"/>
              </w:rPr>
              <w:t>30</w:t>
            </w:r>
            <w:r>
              <w:rPr>
                <w:rFonts w:hint="eastAsia" w:ascii="宋体" w:hAnsi="宋体"/>
                <w:color w:val="auto"/>
                <w:kern w:val="0"/>
                <w:szCs w:val="21"/>
              </w:rPr>
              <w:t>分</w:t>
            </w:r>
          </w:p>
        </w:tc>
      </w:tr>
      <w:tr w14:paraId="386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2A6BEE35">
            <w:pPr>
              <w:wordWrap w:val="0"/>
              <w:adjustRightInd w:val="0"/>
              <w:spacing w:line="400" w:lineRule="exact"/>
              <w:jc w:val="center"/>
              <w:textAlignment w:val="baseline"/>
              <w:rPr>
                <w:rFonts w:ascii="宋体" w:hAnsi="宋体"/>
                <w:bCs/>
                <w:color w:val="auto"/>
                <w:kern w:val="0"/>
                <w:szCs w:val="21"/>
              </w:rPr>
            </w:pPr>
            <w:r>
              <w:rPr>
                <w:rFonts w:hint="eastAsia" w:ascii="宋体" w:hAnsi="宋体"/>
                <w:bCs/>
                <w:color w:val="auto"/>
                <w:kern w:val="0"/>
                <w:szCs w:val="21"/>
              </w:rPr>
              <w:t>2.3</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D1D1615">
            <w:pPr>
              <w:pStyle w:val="12"/>
              <w:wordWrap w:val="0"/>
              <w:spacing w:line="400" w:lineRule="exact"/>
              <w:rPr>
                <w:rFonts w:ascii="宋体" w:hAnsi="宋体"/>
                <w:color w:val="auto"/>
                <w:sz w:val="21"/>
                <w:szCs w:val="21"/>
              </w:rPr>
            </w:pPr>
            <w:r>
              <w:rPr>
                <w:rFonts w:hint="eastAsia" w:ascii="宋体" w:hAnsi="宋体"/>
                <w:color w:val="auto"/>
                <w:sz w:val="21"/>
                <w:szCs w:val="21"/>
              </w:rPr>
              <w:t>项目实施方案</w:t>
            </w:r>
          </w:p>
        </w:tc>
        <w:tc>
          <w:tcPr>
            <w:tcW w:w="6560" w:type="dxa"/>
            <w:tcBorders>
              <w:top w:val="single" w:color="auto" w:sz="4" w:space="0"/>
              <w:left w:val="single" w:color="auto" w:sz="4" w:space="0"/>
              <w:bottom w:val="single" w:color="auto" w:sz="4" w:space="0"/>
              <w:right w:val="single" w:color="auto" w:sz="4" w:space="0"/>
            </w:tcBorders>
            <w:noWrap w:val="0"/>
            <w:vAlign w:val="center"/>
          </w:tcPr>
          <w:p w14:paraId="6984AD18">
            <w:pPr>
              <w:wordWrap w:val="0"/>
              <w:spacing w:line="400" w:lineRule="exact"/>
              <w:rPr>
                <w:rFonts w:ascii="宋体" w:hAnsi="宋体"/>
                <w:bCs/>
                <w:color w:val="auto"/>
                <w:szCs w:val="21"/>
              </w:rPr>
            </w:pPr>
            <w:r>
              <w:rPr>
                <w:rFonts w:hint="eastAsia" w:ascii="宋体" w:hAnsi="宋体"/>
                <w:bCs/>
                <w:color w:val="auto"/>
                <w:szCs w:val="21"/>
              </w:rPr>
              <w:t>根据对整体项目的理解程度情况，实施方案、系统架构组建方案、后期运营方案以及系统设备功能扩展应用方案，人员配备、分工、实施准备、进度安排、质量控制、检测及验收、项目移交等方面描述：</w:t>
            </w:r>
          </w:p>
          <w:p w14:paraId="6C24FD29">
            <w:pPr>
              <w:wordWrap w:val="0"/>
              <w:spacing w:line="400" w:lineRule="exact"/>
              <w:rPr>
                <w:rFonts w:ascii="宋体" w:hAnsi="宋体"/>
                <w:bCs/>
                <w:color w:val="auto"/>
                <w:szCs w:val="21"/>
              </w:rPr>
            </w:pPr>
            <w:r>
              <w:rPr>
                <w:rFonts w:hint="eastAsia" w:ascii="宋体" w:hAnsi="宋体"/>
                <w:bCs/>
                <w:color w:val="auto"/>
                <w:szCs w:val="21"/>
              </w:rPr>
              <w:t>一档（5分）：供应商对本项目的理解、项目实施计划、技术人员安排表述缺乏针对性，能提供实施方案，没有明显的技术错误，技术及实施方案基本符合项目需要。</w:t>
            </w:r>
          </w:p>
          <w:p w14:paraId="41242EFC">
            <w:pPr>
              <w:wordWrap w:val="0"/>
              <w:spacing w:line="400" w:lineRule="exact"/>
              <w:rPr>
                <w:rFonts w:ascii="宋体" w:hAnsi="宋体"/>
                <w:bCs/>
                <w:color w:val="auto"/>
                <w:szCs w:val="21"/>
              </w:rPr>
            </w:pPr>
            <w:r>
              <w:rPr>
                <w:rFonts w:hint="eastAsia" w:ascii="宋体" w:hAnsi="宋体"/>
                <w:bCs/>
                <w:color w:val="auto"/>
                <w:szCs w:val="21"/>
              </w:rPr>
              <w:t>二档（10分）：供应商对本项目的理解、项目实施计划、技术人员表安排表述清晰、完整、严谨、合理，有针对性；能够提供完整的实施方案，阐述清楚产品的功能，功能描述相对具体，符合项目的需要。</w:t>
            </w:r>
          </w:p>
          <w:p w14:paraId="525EEFE3">
            <w:pPr>
              <w:wordWrap w:val="0"/>
              <w:spacing w:line="400" w:lineRule="exact"/>
              <w:rPr>
                <w:rFonts w:ascii="宋体" w:hAnsi="宋体"/>
                <w:bCs/>
                <w:color w:val="auto"/>
                <w:szCs w:val="21"/>
              </w:rPr>
            </w:pPr>
            <w:r>
              <w:rPr>
                <w:rFonts w:hint="eastAsia" w:ascii="宋体" w:hAnsi="宋体"/>
                <w:bCs/>
                <w:color w:val="auto"/>
                <w:szCs w:val="21"/>
              </w:rPr>
              <w:t>三档（15分）：供应商提供针对本项目的理解、项目实施计划、技术人员表安排，表述清晰、完整、严谨、合理，能够完整提供完整可行的实施方案，方案完全符合项目要求，且方案完整全面，阐述清楚各产品的功能，各个产品功能描述具体详细，完全满足项目需要；能够完全满足采购文件中的功能要求、性能要求和实施要求；在此基础上充分了解采购方的实际情况和需求，针对项目核心风险点进行分析，并提出具有针对性的合理化建议及切实可行的解决方案和应对措施，服务响应措施；对采购人实际情况和未来发展有针对性的设计及合理化建议。</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3B15F785">
            <w:pPr>
              <w:wordWrap w:val="0"/>
              <w:spacing w:line="400" w:lineRule="exact"/>
              <w:jc w:val="center"/>
              <w:rPr>
                <w:rFonts w:ascii="宋体" w:hAnsi="宋体"/>
                <w:color w:val="auto"/>
                <w:kern w:val="0"/>
                <w:szCs w:val="21"/>
              </w:rPr>
            </w:pPr>
            <w:r>
              <w:rPr>
                <w:rFonts w:hint="eastAsia" w:ascii="宋体" w:hAnsi="宋体"/>
                <w:color w:val="auto"/>
                <w:kern w:val="0"/>
                <w:szCs w:val="21"/>
              </w:rPr>
              <w:t>15分</w:t>
            </w:r>
          </w:p>
        </w:tc>
      </w:tr>
      <w:tr w14:paraId="0788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57739F55">
            <w:pPr>
              <w:wordWrap w:val="0"/>
              <w:adjustRightInd w:val="0"/>
              <w:spacing w:line="400" w:lineRule="exact"/>
              <w:jc w:val="center"/>
              <w:textAlignment w:val="baseline"/>
              <w:rPr>
                <w:rFonts w:ascii="宋体" w:hAnsi="宋体"/>
                <w:bCs/>
                <w:color w:val="auto"/>
                <w:kern w:val="0"/>
                <w:szCs w:val="21"/>
              </w:rPr>
            </w:pPr>
            <w:r>
              <w:rPr>
                <w:rFonts w:hint="eastAsia" w:ascii="宋体" w:hAnsi="宋体"/>
                <w:bCs/>
                <w:color w:val="auto"/>
                <w:kern w:val="0"/>
                <w:szCs w:val="21"/>
              </w:rPr>
              <w:t>2.4</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A8CA8E7">
            <w:pPr>
              <w:pStyle w:val="14"/>
              <w:widowControl w:val="0"/>
              <w:wordWrap w:val="0"/>
              <w:spacing w:line="400" w:lineRule="exact"/>
              <w:rPr>
                <w:rFonts w:ascii="宋体" w:hAnsi="宋体" w:eastAsia="宋体"/>
                <w:color w:val="auto"/>
                <w:sz w:val="21"/>
                <w:szCs w:val="21"/>
              </w:rPr>
            </w:pPr>
            <w:r>
              <w:rPr>
                <w:rFonts w:hint="eastAsia" w:ascii="宋体" w:hAnsi="宋体" w:eastAsia="宋体"/>
                <w:color w:val="auto"/>
                <w:sz w:val="21"/>
                <w:szCs w:val="21"/>
              </w:rPr>
              <w:t>售后服务</w:t>
            </w:r>
          </w:p>
        </w:tc>
        <w:tc>
          <w:tcPr>
            <w:tcW w:w="6560" w:type="dxa"/>
            <w:tcBorders>
              <w:top w:val="single" w:color="auto" w:sz="4" w:space="0"/>
              <w:left w:val="single" w:color="auto" w:sz="4" w:space="0"/>
              <w:bottom w:val="single" w:color="auto" w:sz="4" w:space="0"/>
              <w:right w:val="single" w:color="auto" w:sz="4" w:space="0"/>
            </w:tcBorders>
            <w:noWrap w:val="0"/>
            <w:vAlign w:val="center"/>
          </w:tcPr>
          <w:p w14:paraId="3A472E9C">
            <w:pPr>
              <w:wordWrap w:val="0"/>
              <w:spacing w:line="400" w:lineRule="exact"/>
              <w:rPr>
                <w:rFonts w:ascii="宋体" w:hAnsi="宋体"/>
                <w:bCs/>
                <w:color w:val="auto"/>
                <w:szCs w:val="21"/>
              </w:rPr>
            </w:pPr>
            <w:r>
              <w:rPr>
                <w:rFonts w:hint="eastAsia" w:ascii="宋体" w:hAnsi="宋体"/>
                <w:bCs/>
                <w:color w:val="auto"/>
                <w:szCs w:val="21"/>
              </w:rPr>
              <w:t>由</w:t>
            </w:r>
            <w:r>
              <w:rPr>
                <w:rFonts w:hint="eastAsia" w:ascii="宋体" w:hAnsi="宋体"/>
                <w:bCs/>
                <w:color w:val="auto"/>
                <w:szCs w:val="21"/>
                <w:lang w:val="en-US" w:eastAsia="zh-CN"/>
              </w:rPr>
              <w:t>评标</w:t>
            </w:r>
            <w:r>
              <w:rPr>
                <w:rFonts w:hint="eastAsia" w:ascii="宋体" w:hAnsi="宋体"/>
                <w:bCs/>
                <w:color w:val="auto"/>
                <w:szCs w:val="21"/>
              </w:rPr>
              <w:t>小组根据供应商响应文件中售后服务承诺书内容的完整性、可行性、到达故障现场时间、故障出现解决方案、定期维护（注明时间）、免费技术培训方案、保修期外维修方案、本地化售后服务措施、其他优惠措施等方面进行打分。</w:t>
            </w:r>
          </w:p>
          <w:p w14:paraId="00F64027">
            <w:pPr>
              <w:wordWrap w:val="0"/>
              <w:spacing w:line="400" w:lineRule="exact"/>
              <w:rPr>
                <w:rFonts w:hint="eastAsia" w:ascii="宋体" w:hAnsi="宋体"/>
                <w:bCs/>
                <w:color w:val="auto"/>
                <w:szCs w:val="21"/>
              </w:rPr>
            </w:pPr>
            <w:r>
              <w:rPr>
                <w:rFonts w:hint="eastAsia" w:ascii="宋体" w:hAnsi="宋体"/>
                <w:bCs/>
                <w:color w:val="auto"/>
                <w:szCs w:val="21"/>
              </w:rPr>
              <w:t>一档（</w:t>
            </w:r>
            <w:r>
              <w:rPr>
                <w:rFonts w:hint="eastAsia" w:ascii="宋体" w:hAnsi="宋体"/>
                <w:bCs/>
                <w:color w:val="auto"/>
                <w:szCs w:val="21"/>
                <w:lang w:val="en-US" w:eastAsia="zh-CN"/>
              </w:rPr>
              <w:t>1</w:t>
            </w:r>
            <w:r>
              <w:rPr>
                <w:rFonts w:hint="eastAsia" w:ascii="宋体" w:hAnsi="宋体"/>
                <w:bCs/>
                <w:color w:val="auto"/>
                <w:szCs w:val="21"/>
              </w:rPr>
              <w:t>分）：基本满足文件要求，故障出现解决方案、技术培训方案、必要内容更新和升级维护方案等内容基本可行，有简单的资源库平台出现故障及课程制作成品修改，售后服务期外的有利于项目实施的服务内容，能提供本地化服务。</w:t>
            </w:r>
          </w:p>
          <w:p w14:paraId="1AE38FD8">
            <w:pPr>
              <w:wordWrap w:val="0"/>
              <w:spacing w:line="400" w:lineRule="exact"/>
              <w:rPr>
                <w:rFonts w:hint="eastAsia" w:ascii="宋体" w:hAnsi="宋体"/>
                <w:bCs/>
                <w:color w:val="auto"/>
                <w:szCs w:val="21"/>
              </w:rPr>
            </w:pPr>
            <w:r>
              <w:rPr>
                <w:rFonts w:hint="eastAsia" w:ascii="宋体" w:hAnsi="宋体"/>
                <w:bCs/>
                <w:color w:val="auto"/>
                <w:szCs w:val="21"/>
              </w:rPr>
              <w:t>二档（</w:t>
            </w:r>
            <w:r>
              <w:rPr>
                <w:rFonts w:hint="eastAsia" w:ascii="宋体" w:hAnsi="宋体"/>
                <w:bCs/>
                <w:color w:val="auto"/>
                <w:szCs w:val="21"/>
                <w:lang w:val="en-US" w:eastAsia="zh-CN"/>
              </w:rPr>
              <w:t>5</w:t>
            </w:r>
            <w:r>
              <w:rPr>
                <w:rFonts w:hint="eastAsia" w:ascii="宋体" w:hAnsi="宋体"/>
                <w:bCs/>
                <w:color w:val="auto"/>
                <w:szCs w:val="21"/>
              </w:rPr>
              <w:t>分）：满足采购文件要求，故障出现解决方案、技术培训方案、必要内容更新和升级维护方案等内容较详细、具体，有简单的资源库平台出现故障及课程制作成品修改，售后服务期外的有利于项目实施的服务内容，能提供本地化服务。回访措施；承诺接到采购人报障电话后3小时内通过电话或网络解决问题，若电话或网络无法解决的，能在4小时内派技术人员到达采购人指定地点解决，所有问题在12小时内解决，提供本地化服务，售后服务体系完善，售后服务保证措施得力，有可行性。</w:t>
            </w:r>
          </w:p>
          <w:p w14:paraId="69B25C86">
            <w:pPr>
              <w:wordWrap w:val="0"/>
              <w:spacing w:line="400" w:lineRule="exact"/>
              <w:rPr>
                <w:rFonts w:ascii="宋体" w:hAnsi="宋体"/>
                <w:bCs/>
                <w:color w:val="auto"/>
                <w:szCs w:val="21"/>
              </w:rPr>
            </w:pPr>
            <w:r>
              <w:rPr>
                <w:rFonts w:hint="eastAsia" w:ascii="宋体" w:hAnsi="宋体"/>
                <w:bCs/>
                <w:color w:val="auto"/>
                <w:szCs w:val="21"/>
              </w:rPr>
              <w:t>三档（10分）：能充分满足采购文件要求，故障出现解决方案、技术培训方案、必要内容更新和升级维护方案、售后服务期外的有利于项目实施的服务内容、回访措施等内容详实、完整，具有针对性；接到采购人报障电话后1小时内通过电话或网络解决问题，若电话或网络无法解决的，能在3小时内派技术人员到达采购人指定地点解决，所有问题在8小时内解决，提供本地化服务，售后服务体系完善，售后服务保证措施得力，可行性强。</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14E95C4D">
            <w:pPr>
              <w:wordWrap w:val="0"/>
              <w:spacing w:line="400" w:lineRule="exact"/>
              <w:jc w:val="center"/>
              <w:rPr>
                <w:rFonts w:ascii="宋体" w:hAnsi="宋体"/>
                <w:color w:val="auto"/>
                <w:kern w:val="0"/>
                <w:szCs w:val="21"/>
              </w:rPr>
            </w:pPr>
            <w:r>
              <w:rPr>
                <w:rFonts w:hint="eastAsia" w:ascii="宋体" w:hAnsi="宋体"/>
                <w:color w:val="auto"/>
                <w:kern w:val="0"/>
                <w:szCs w:val="21"/>
              </w:rPr>
              <w:t>1</w:t>
            </w:r>
            <w:r>
              <w:rPr>
                <w:rFonts w:hint="eastAsia" w:ascii="宋体" w:hAnsi="宋体"/>
                <w:color w:val="auto"/>
                <w:kern w:val="0"/>
                <w:szCs w:val="21"/>
                <w:lang w:val="en-US" w:eastAsia="zh-CN"/>
              </w:rPr>
              <w:t>0</w:t>
            </w:r>
            <w:r>
              <w:rPr>
                <w:rFonts w:hint="eastAsia" w:ascii="宋体" w:hAnsi="宋体"/>
                <w:color w:val="auto"/>
                <w:kern w:val="0"/>
                <w:szCs w:val="21"/>
              </w:rPr>
              <w:t>分</w:t>
            </w:r>
          </w:p>
        </w:tc>
      </w:tr>
      <w:tr w14:paraId="6B0B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1D7C86CD">
            <w:pPr>
              <w:widowControl/>
              <w:wordWrap w:val="0"/>
              <w:spacing w:line="400" w:lineRule="exact"/>
              <w:jc w:val="center"/>
              <w:rPr>
                <w:rFonts w:ascii="宋体" w:hAnsi="宋体"/>
                <w:b/>
                <w:bCs/>
                <w:color w:val="auto"/>
                <w:kern w:val="0"/>
                <w:szCs w:val="21"/>
              </w:rPr>
            </w:pPr>
            <w:r>
              <w:rPr>
                <w:rFonts w:hint="eastAsia" w:ascii="宋体" w:hAnsi="宋体"/>
                <w:b/>
                <w:bCs/>
                <w:color w:val="auto"/>
                <w:kern w:val="0"/>
                <w:szCs w:val="21"/>
              </w:rPr>
              <w:t>3</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A19DBDF">
            <w:pPr>
              <w:widowControl/>
              <w:wordWrap w:val="0"/>
              <w:spacing w:line="400" w:lineRule="exact"/>
              <w:jc w:val="center"/>
              <w:rPr>
                <w:rFonts w:ascii="宋体" w:hAnsi="宋体"/>
                <w:b/>
                <w:bCs/>
                <w:color w:val="auto"/>
                <w:szCs w:val="21"/>
              </w:rPr>
            </w:pPr>
            <w:r>
              <w:rPr>
                <w:rFonts w:hint="eastAsia" w:ascii="宋体" w:hAnsi="宋体"/>
                <w:b/>
                <w:bCs/>
                <w:color w:val="auto"/>
                <w:szCs w:val="21"/>
              </w:rPr>
              <w:t>商务分</w:t>
            </w:r>
          </w:p>
        </w:tc>
        <w:tc>
          <w:tcPr>
            <w:tcW w:w="6560" w:type="dxa"/>
            <w:tcBorders>
              <w:top w:val="single" w:color="auto" w:sz="4" w:space="0"/>
              <w:left w:val="single" w:color="auto" w:sz="4" w:space="0"/>
              <w:bottom w:val="single" w:color="auto" w:sz="4" w:space="0"/>
              <w:right w:val="single" w:color="auto" w:sz="4" w:space="0"/>
            </w:tcBorders>
            <w:noWrap w:val="0"/>
            <w:vAlign w:val="center"/>
          </w:tcPr>
          <w:p w14:paraId="1D20C1B8">
            <w:pPr>
              <w:widowControl/>
              <w:wordWrap w:val="0"/>
              <w:spacing w:line="400" w:lineRule="exact"/>
              <w:jc w:val="center"/>
              <w:rPr>
                <w:rFonts w:ascii="宋体" w:hAnsi="宋体"/>
                <w:b/>
                <w:bCs/>
                <w:color w:val="auto"/>
                <w:kern w:val="0"/>
                <w:szCs w:val="21"/>
              </w:rPr>
            </w:pPr>
            <w:r>
              <w:rPr>
                <w:rFonts w:hint="eastAsia" w:ascii="宋体" w:hAnsi="宋体"/>
                <w:b/>
                <w:bCs/>
                <w:color w:val="auto"/>
                <w:kern w:val="0"/>
                <w:szCs w:val="21"/>
              </w:rPr>
              <w:t>评审因素</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2FCFB302">
            <w:pPr>
              <w:widowControl/>
              <w:wordWrap w:val="0"/>
              <w:spacing w:line="400" w:lineRule="exact"/>
              <w:jc w:val="center"/>
              <w:rPr>
                <w:rFonts w:ascii="宋体" w:hAnsi="宋体"/>
                <w:b/>
                <w:bCs/>
                <w:color w:val="auto"/>
                <w:kern w:val="0"/>
                <w:szCs w:val="21"/>
              </w:rPr>
            </w:pPr>
            <w:r>
              <w:rPr>
                <w:rFonts w:hint="eastAsia" w:ascii="宋体" w:hAnsi="宋体"/>
                <w:b/>
                <w:bCs/>
                <w:color w:val="auto"/>
                <w:kern w:val="0"/>
                <w:szCs w:val="21"/>
              </w:rPr>
              <w:t>分值</w:t>
            </w:r>
          </w:p>
        </w:tc>
      </w:tr>
      <w:tr w14:paraId="2A06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50C073CE">
            <w:pPr>
              <w:widowControl/>
              <w:wordWrap w:val="0"/>
              <w:spacing w:line="400" w:lineRule="exact"/>
              <w:jc w:val="center"/>
              <w:rPr>
                <w:rFonts w:ascii="宋体" w:hAnsi="宋体"/>
                <w:color w:val="auto"/>
                <w:kern w:val="0"/>
                <w:szCs w:val="21"/>
              </w:rPr>
            </w:pPr>
            <w:r>
              <w:rPr>
                <w:rFonts w:hint="eastAsia" w:ascii="宋体" w:hAnsi="宋体"/>
                <w:color w:val="auto"/>
                <w:kern w:val="0"/>
                <w:szCs w:val="21"/>
              </w:rPr>
              <w:t>3.1</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592A4EE">
            <w:pPr>
              <w:widowControl/>
              <w:wordWrap w:val="0"/>
              <w:spacing w:line="400" w:lineRule="exact"/>
              <w:jc w:val="center"/>
              <w:rPr>
                <w:rFonts w:ascii="宋体" w:hAnsi="宋体"/>
                <w:bCs/>
                <w:color w:val="auto"/>
                <w:szCs w:val="21"/>
              </w:rPr>
            </w:pPr>
            <w:r>
              <w:rPr>
                <w:rFonts w:hint="eastAsia" w:ascii="宋体" w:hAnsi="宋体"/>
                <w:bCs/>
                <w:color w:val="auto"/>
                <w:szCs w:val="21"/>
              </w:rPr>
              <w:t>业绩分</w:t>
            </w:r>
          </w:p>
        </w:tc>
        <w:tc>
          <w:tcPr>
            <w:tcW w:w="6560" w:type="dxa"/>
            <w:tcBorders>
              <w:top w:val="single" w:color="auto" w:sz="4" w:space="0"/>
              <w:left w:val="single" w:color="auto" w:sz="4" w:space="0"/>
              <w:bottom w:val="single" w:color="auto" w:sz="4" w:space="0"/>
              <w:right w:val="single" w:color="auto" w:sz="4" w:space="0"/>
            </w:tcBorders>
            <w:noWrap w:val="0"/>
            <w:vAlign w:val="center"/>
          </w:tcPr>
          <w:p w14:paraId="62ACB583">
            <w:pPr>
              <w:widowControl/>
              <w:wordWrap w:val="0"/>
              <w:spacing w:line="400" w:lineRule="exact"/>
              <w:jc w:val="left"/>
              <w:rPr>
                <w:rFonts w:hint="eastAsia" w:ascii="宋体" w:hAnsi="宋体"/>
                <w:color w:val="auto"/>
                <w:kern w:val="0"/>
                <w:szCs w:val="21"/>
              </w:rPr>
            </w:pPr>
            <w:r>
              <w:rPr>
                <w:rFonts w:hint="eastAsia" w:ascii="宋体" w:hAnsi="宋体"/>
                <w:color w:val="auto"/>
                <w:kern w:val="0"/>
                <w:szCs w:val="21"/>
              </w:rPr>
              <w:t>供应商响应文件中提供2022年以来具有</w:t>
            </w:r>
            <w:r>
              <w:rPr>
                <w:rFonts w:hint="eastAsia" w:ascii="宋体" w:hAnsi="宋体"/>
                <w:color w:val="auto"/>
                <w:kern w:val="0"/>
                <w:szCs w:val="21"/>
                <w:lang w:val="en-US" w:eastAsia="zh-CN"/>
              </w:rPr>
              <w:t>类似精品课程</w:t>
            </w:r>
            <w:r>
              <w:rPr>
                <w:rFonts w:hint="eastAsia" w:ascii="宋体" w:hAnsi="宋体"/>
                <w:color w:val="auto"/>
                <w:kern w:val="0"/>
                <w:szCs w:val="21"/>
              </w:rPr>
              <w:t>项目业绩【以中标（成交）通知书或合同复印件为准】，每提供有1个得1分，最多得</w:t>
            </w:r>
            <w:r>
              <w:rPr>
                <w:rFonts w:hint="eastAsia" w:ascii="宋体" w:hAnsi="宋体"/>
                <w:color w:val="auto"/>
                <w:kern w:val="0"/>
                <w:szCs w:val="21"/>
                <w:lang w:val="en-US" w:eastAsia="zh-CN"/>
              </w:rPr>
              <w:t>10</w:t>
            </w:r>
            <w:r>
              <w:rPr>
                <w:rFonts w:hint="eastAsia" w:ascii="宋体" w:hAnsi="宋体"/>
                <w:color w:val="auto"/>
                <w:kern w:val="0"/>
                <w:szCs w:val="21"/>
              </w:rPr>
              <w:t>分。</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585D6611">
            <w:pPr>
              <w:widowControl/>
              <w:wordWrap w:val="0"/>
              <w:spacing w:line="400" w:lineRule="exact"/>
              <w:jc w:val="center"/>
              <w:rPr>
                <w:rFonts w:ascii="宋体" w:hAnsi="宋体"/>
                <w:color w:val="auto"/>
                <w:kern w:val="0"/>
                <w:szCs w:val="21"/>
              </w:rPr>
            </w:pPr>
            <w:r>
              <w:rPr>
                <w:rFonts w:hint="eastAsia" w:ascii="宋体" w:hAnsi="宋体"/>
                <w:color w:val="auto"/>
                <w:kern w:val="0"/>
                <w:szCs w:val="21"/>
                <w:lang w:val="en-US" w:eastAsia="zh-CN"/>
              </w:rPr>
              <w:t>10</w:t>
            </w:r>
            <w:r>
              <w:rPr>
                <w:rFonts w:hint="eastAsia" w:ascii="宋体" w:hAnsi="宋体"/>
                <w:color w:val="auto"/>
                <w:kern w:val="0"/>
                <w:szCs w:val="21"/>
              </w:rPr>
              <w:t>分</w:t>
            </w:r>
          </w:p>
        </w:tc>
      </w:tr>
      <w:tr w14:paraId="3B6E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593F8C53">
            <w:pPr>
              <w:wordWrap w:val="0"/>
              <w:spacing w:line="400" w:lineRule="exact"/>
              <w:jc w:val="center"/>
              <w:rPr>
                <w:rFonts w:ascii="宋体" w:hAnsi="宋体"/>
                <w:color w:val="auto"/>
                <w:kern w:val="0"/>
                <w:szCs w:val="21"/>
              </w:rPr>
            </w:pPr>
            <w:r>
              <w:rPr>
                <w:rFonts w:hint="eastAsia" w:ascii="宋体" w:hAnsi="宋体"/>
                <w:color w:val="auto"/>
                <w:kern w:val="0"/>
                <w:szCs w:val="21"/>
              </w:rPr>
              <w:t>3.2</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BCFF2F6">
            <w:pPr>
              <w:pStyle w:val="12"/>
              <w:wordWrap w:val="0"/>
              <w:spacing w:line="400" w:lineRule="exact"/>
              <w:jc w:val="both"/>
              <w:rPr>
                <w:rFonts w:ascii="宋体" w:hAnsi="宋体"/>
                <w:color w:val="auto"/>
                <w:sz w:val="21"/>
                <w:szCs w:val="21"/>
              </w:rPr>
            </w:pPr>
            <w:r>
              <w:rPr>
                <w:rFonts w:hint="eastAsia" w:ascii="宋体" w:hAnsi="宋体"/>
                <w:color w:val="auto"/>
                <w:sz w:val="21"/>
                <w:szCs w:val="21"/>
              </w:rPr>
              <w:t>综合实力</w:t>
            </w:r>
          </w:p>
        </w:tc>
        <w:tc>
          <w:tcPr>
            <w:tcW w:w="6560" w:type="dxa"/>
            <w:tcBorders>
              <w:top w:val="single" w:color="auto" w:sz="4" w:space="0"/>
              <w:left w:val="single" w:color="auto" w:sz="4" w:space="0"/>
              <w:bottom w:val="single" w:color="auto" w:sz="4" w:space="0"/>
              <w:right w:val="single" w:color="auto" w:sz="4" w:space="0"/>
            </w:tcBorders>
            <w:noWrap w:val="0"/>
            <w:vAlign w:val="center"/>
          </w:tcPr>
          <w:p w14:paraId="515C457C">
            <w:pPr>
              <w:widowControl/>
              <w:wordWrap w:val="0"/>
              <w:spacing w:line="400" w:lineRule="exact"/>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（1）具有广播电视节目制作经营许可证，满足该条件得1分，提供相关证明材料，否则不得分。</w:t>
            </w:r>
          </w:p>
          <w:p w14:paraId="2F1CC508">
            <w:pPr>
              <w:widowControl/>
              <w:wordWrap w:val="0"/>
              <w:spacing w:line="400" w:lineRule="exact"/>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（2）具有网络在线教学课程管理平台的著作权，满足该条件得</w:t>
            </w:r>
            <w:r>
              <w:rPr>
                <w:rFonts w:hint="eastAsia" w:ascii="宋体" w:hAnsi="宋体" w:eastAsia="宋体" w:cs="Times New Roman"/>
                <w:color w:val="auto"/>
                <w:kern w:val="0"/>
                <w:szCs w:val="21"/>
                <w:lang w:val="en-US" w:eastAsia="zh-CN"/>
              </w:rPr>
              <w:t>1</w:t>
            </w:r>
            <w:r>
              <w:rPr>
                <w:rFonts w:hint="eastAsia" w:ascii="宋体" w:hAnsi="宋体" w:eastAsia="宋体" w:cs="Times New Roman"/>
                <w:color w:val="auto"/>
                <w:kern w:val="0"/>
                <w:szCs w:val="21"/>
              </w:rPr>
              <w:t>分，提供相关证明材料，否则不得分。</w:t>
            </w:r>
          </w:p>
          <w:p w14:paraId="02D18E05">
            <w:pPr>
              <w:widowControl/>
              <w:wordWrap w:val="0"/>
              <w:spacing w:line="400" w:lineRule="exact"/>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（3）具有一体化教学智慧管理平台的著作权，满足该条件得</w:t>
            </w:r>
            <w:r>
              <w:rPr>
                <w:rFonts w:hint="eastAsia" w:ascii="宋体" w:hAnsi="宋体" w:eastAsia="宋体" w:cs="Times New Roman"/>
                <w:color w:val="auto"/>
                <w:kern w:val="0"/>
                <w:szCs w:val="21"/>
                <w:lang w:val="en-US" w:eastAsia="zh-CN"/>
              </w:rPr>
              <w:t>1</w:t>
            </w:r>
            <w:r>
              <w:rPr>
                <w:rFonts w:hint="eastAsia" w:ascii="宋体" w:hAnsi="宋体" w:eastAsia="宋体" w:cs="Times New Roman"/>
                <w:color w:val="auto"/>
                <w:kern w:val="0"/>
                <w:szCs w:val="21"/>
              </w:rPr>
              <w:t>分，提供相关证明材料，否则不得分。</w:t>
            </w:r>
          </w:p>
          <w:p w14:paraId="3C8326E5">
            <w:pPr>
              <w:widowControl/>
              <w:wordWrap w:val="0"/>
              <w:spacing w:line="400" w:lineRule="exact"/>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（4）具有专业建设管理平台的著作权，满足该条件得</w:t>
            </w:r>
            <w:r>
              <w:rPr>
                <w:rFonts w:hint="eastAsia" w:ascii="宋体" w:hAnsi="宋体" w:eastAsia="宋体" w:cs="Times New Roman"/>
                <w:color w:val="auto"/>
                <w:kern w:val="0"/>
                <w:szCs w:val="21"/>
                <w:lang w:val="en-US" w:eastAsia="zh-CN"/>
              </w:rPr>
              <w:t>1</w:t>
            </w:r>
            <w:r>
              <w:rPr>
                <w:rFonts w:hint="eastAsia" w:ascii="宋体" w:hAnsi="宋体" w:eastAsia="宋体" w:cs="Times New Roman"/>
                <w:color w:val="auto"/>
                <w:kern w:val="0"/>
                <w:szCs w:val="21"/>
              </w:rPr>
              <w:t>分，提供相关证明材料，否则不得分。</w:t>
            </w:r>
          </w:p>
          <w:p w14:paraId="039FFAE1">
            <w:pPr>
              <w:widowControl/>
              <w:wordWrap w:val="0"/>
              <w:spacing w:line="400" w:lineRule="exact"/>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lang w:val="en-US" w:eastAsia="zh-CN"/>
              </w:rPr>
              <w:t>5</w:t>
            </w:r>
            <w:r>
              <w:rPr>
                <w:rFonts w:hint="eastAsia" w:ascii="宋体" w:hAnsi="宋体" w:eastAsia="宋体" w:cs="Times New Roman"/>
                <w:color w:val="auto"/>
                <w:kern w:val="0"/>
                <w:szCs w:val="21"/>
              </w:rPr>
              <w:t>）具</w:t>
            </w:r>
            <w:r>
              <w:rPr>
                <w:rFonts w:hint="eastAsia" w:ascii="宋体" w:hAnsi="宋体" w:eastAsia="宋体" w:cs="Times New Roman"/>
                <w:color w:val="auto"/>
                <w:kern w:val="0"/>
                <w:szCs w:val="21"/>
                <w:lang w:val="en-US" w:eastAsia="zh-CN"/>
              </w:rPr>
              <w:t>有</w:t>
            </w:r>
            <w:r>
              <w:rPr>
                <w:rFonts w:hint="eastAsia" w:ascii="宋体" w:hAnsi="宋体" w:eastAsia="宋体" w:cs="Times New Roman"/>
                <w:color w:val="auto"/>
                <w:kern w:val="0"/>
                <w:szCs w:val="21"/>
              </w:rPr>
              <w:t>完全自主知识产权的教学资源库平台著作权登记证书的得</w:t>
            </w:r>
            <w:r>
              <w:rPr>
                <w:rFonts w:hint="eastAsia" w:ascii="宋体" w:hAnsi="宋体" w:eastAsia="宋体" w:cs="Times New Roman"/>
                <w:color w:val="auto"/>
                <w:kern w:val="0"/>
                <w:szCs w:val="21"/>
                <w:lang w:val="en-US" w:eastAsia="zh-CN"/>
              </w:rPr>
              <w:t>1</w:t>
            </w:r>
            <w:r>
              <w:rPr>
                <w:rFonts w:hint="eastAsia" w:ascii="宋体" w:hAnsi="宋体" w:eastAsia="宋体" w:cs="Times New Roman"/>
                <w:color w:val="auto"/>
                <w:kern w:val="0"/>
                <w:szCs w:val="21"/>
              </w:rPr>
              <w:t>分。</w:t>
            </w:r>
          </w:p>
          <w:p w14:paraId="5E7E4A68">
            <w:pPr>
              <w:widowControl/>
              <w:wordWrap w:val="0"/>
              <w:spacing w:line="400" w:lineRule="exact"/>
              <w:jc w:val="left"/>
              <w:rPr>
                <w:rFonts w:ascii="宋体" w:hAnsi="宋体"/>
                <w:color w:val="auto"/>
                <w:sz w:val="21"/>
                <w:szCs w:val="21"/>
              </w:rPr>
            </w:pPr>
            <w:r>
              <w:rPr>
                <w:rFonts w:hint="eastAsia" w:ascii="宋体" w:hAnsi="宋体" w:eastAsia="宋体" w:cs="Times New Roman"/>
                <w:color w:val="auto"/>
                <w:kern w:val="0"/>
                <w:szCs w:val="21"/>
              </w:rPr>
              <w:t>（</w:t>
            </w:r>
            <w:r>
              <w:rPr>
                <w:rFonts w:hint="eastAsia" w:ascii="宋体" w:hAnsi="宋体" w:eastAsia="宋体" w:cs="Times New Roman"/>
                <w:color w:val="auto"/>
                <w:kern w:val="0"/>
                <w:szCs w:val="21"/>
                <w:lang w:val="en-US" w:eastAsia="zh-CN"/>
              </w:rPr>
              <w:t>5</w:t>
            </w:r>
            <w:r>
              <w:rPr>
                <w:rFonts w:hint="eastAsia" w:ascii="宋体" w:hAnsi="宋体" w:eastAsia="宋体" w:cs="Times New Roman"/>
                <w:color w:val="auto"/>
                <w:kern w:val="0"/>
                <w:szCs w:val="21"/>
              </w:rPr>
              <w:t>）供应商自2021年合作的课程，获得省级或自治区级及以上职业教育在线精品课程认定，供应商提供合同复印件及对应获奖证明（包括课程截图、获奖文件）相关文件材料证明，每提供一门得1分，最多得</w:t>
            </w:r>
            <w:r>
              <w:rPr>
                <w:rFonts w:hint="eastAsia" w:ascii="宋体" w:hAnsi="宋体" w:cs="Times New Roman"/>
                <w:color w:val="auto"/>
                <w:kern w:val="0"/>
                <w:szCs w:val="21"/>
                <w:lang w:val="en-US" w:eastAsia="zh-CN"/>
              </w:rPr>
              <w:t>10</w:t>
            </w:r>
            <w:r>
              <w:rPr>
                <w:rFonts w:hint="eastAsia" w:ascii="宋体" w:hAnsi="宋体" w:eastAsia="宋体" w:cs="Times New Roman"/>
                <w:color w:val="auto"/>
                <w:kern w:val="0"/>
                <w:szCs w:val="21"/>
              </w:rPr>
              <w:t>分。（响应文件中提供有效合同复印件，合同内容能清晰反应服务名称、种类、金额，复印件均加盖供应商公章，同一个项目不重复计分）</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359EF7B6">
            <w:pPr>
              <w:widowControl/>
              <w:wordWrap w:val="0"/>
              <w:spacing w:line="400" w:lineRule="exact"/>
              <w:jc w:val="center"/>
              <w:rPr>
                <w:rFonts w:ascii="宋体" w:hAnsi="宋体"/>
                <w:color w:val="auto"/>
                <w:kern w:val="0"/>
                <w:szCs w:val="21"/>
              </w:rPr>
            </w:pPr>
            <w:r>
              <w:rPr>
                <w:rFonts w:hint="eastAsia" w:ascii="宋体" w:hAnsi="宋体"/>
                <w:color w:val="auto"/>
                <w:kern w:val="0"/>
                <w:szCs w:val="21"/>
              </w:rPr>
              <w:t>1</w:t>
            </w:r>
            <w:r>
              <w:rPr>
                <w:rFonts w:hint="eastAsia" w:ascii="宋体" w:hAnsi="宋体"/>
                <w:color w:val="auto"/>
                <w:kern w:val="0"/>
                <w:szCs w:val="21"/>
                <w:lang w:val="en-US" w:eastAsia="zh-CN"/>
              </w:rPr>
              <w:t>5</w:t>
            </w:r>
            <w:r>
              <w:rPr>
                <w:rFonts w:hint="eastAsia" w:ascii="宋体" w:hAnsi="宋体"/>
                <w:color w:val="auto"/>
                <w:kern w:val="0"/>
                <w:szCs w:val="21"/>
              </w:rPr>
              <w:t>分</w:t>
            </w:r>
          </w:p>
        </w:tc>
      </w:tr>
      <w:tr w14:paraId="46BA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3" w:type="dxa"/>
            <w:gridSpan w:val="3"/>
            <w:tcBorders>
              <w:top w:val="single" w:color="auto" w:sz="4" w:space="0"/>
              <w:left w:val="single" w:color="auto" w:sz="4" w:space="0"/>
              <w:bottom w:val="single" w:color="auto" w:sz="4" w:space="0"/>
              <w:right w:val="single" w:color="auto" w:sz="4" w:space="0"/>
            </w:tcBorders>
            <w:noWrap w:val="0"/>
            <w:vAlign w:val="top"/>
          </w:tcPr>
          <w:p w14:paraId="705A7B9E">
            <w:pPr>
              <w:wordWrap w:val="0"/>
              <w:spacing w:line="400" w:lineRule="exact"/>
              <w:rPr>
                <w:rFonts w:ascii="宋体" w:hAnsi="宋体"/>
                <w:bCs/>
                <w:color w:val="auto"/>
                <w:szCs w:val="21"/>
              </w:rPr>
            </w:pPr>
            <w:r>
              <w:rPr>
                <w:rFonts w:hint="eastAsia" w:ascii="宋体" w:hAnsi="宋体"/>
                <w:bCs/>
                <w:color w:val="auto"/>
                <w:szCs w:val="21"/>
              </w:rPr>
              <w:t>总得分＝1＋2＋3</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1CE08A75">
            <w:pPr>
              <w:widowControl/>
              <w:wordWrap w:val="0"/>
              <w:spacing w:line="400" w:lineRule="exact"/>
              <w:jc w:val="center"/>
              <w:rPr>
                <w:rFonts w:ascii="宋体" w:hAnsi="宋体"/>
                <w:color w:val="auto"/>
                <w:kern w:val="0"/>
                <w:szCs w:val="21"/>
              </w:rPr>
            </w:pPr>
            <w:r>
              <w:rPr>
                <w:rFonts w:hint="eastAsia" w:ascii="宋体" w:hAnsi="宋体"/>
                <w:color w:val="auto"/>
                <w:kern w:val="0"/>
                <w:szCs w:val="21"/>
              </w:rPr>
              <w:t>100分</w:t>
            </w:r>
          </w:p>
        </w:tc>
      </w:tr>
    </w:tbl>
    <w:p w14:paraId="70DEE33E">
      <w:pPr>
        <w:pStyle w:val="2"/>
        <w:ind w:left="0" w:leftChars="0" w:firstLine="0" w:firstLineChars="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宋体-简">
    <w:altName w:val="宋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E8B1F"/>
    <w:multiLevelType w:val="singleLevel"/>
    <w:tmpl w:val="344E8B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752AC"/>
    <w:rsid w:val="219F4675"/>
    <w:rsid w:val="224B2766"/>
    <w:rsid w:val="257717A5"/>
    <w:rsid w:val="28AF0173"/>
    <w:rsid w:val="34C12AA2"/>
    <w:rsid w:val="36646090"/>
    <w:rsid w:val="39CF6F12"/>
    <w:rsid w:val="3B547DD5"/>
    <w:rsid w:val="53B84F4D"/>
    <w:rsid w:val="550B13AD"/>
    <w:rsid w:val="55A33B30"/>
    <w:rsid w:val="5C677619"/>
    <w:rsid w:val="64870001"/>
    <w:rsid w:val="665D64C5"/>
    <w:rsid w:val="749E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
    <w:qFormat/>
    <w:uiPriority w:val="0"/>
    <w:pPr>
      <w:keepNext/>
      <w:keepLines/>
      <w:spacing w:before="480" w:after="480" w:line="120" w:lineRule="auto"/>
      <w:outlineLvl w:val="0"/>
    </w:pPr>
    <w:rPr>
      <w:rFonts w:ascii="Times New Roman" w:hAnsi="Times New Roman" w:eastAsia="黑体" w:cs="Times New Roman"/>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next w:val="2"/>
    <w:qFormat/>
    <w:uiPriority w:val="0"/>
    <w:pPr>
      <w:spacing w:after="120" w:afterLines="0" w:afterAutospacing="0"/>
    </w:pPr>
  </w:style>
  <w:style w:type="paragraph" w:styleId="5">
    <w:name w:val="annotation text"/>
    <w:basedOn w:val="1"/>
    <w:qFormat/>
    <w:uiPriority w:val="0"/>
    <w:pPr>
      <w:jc w:val="left"/>
    </w:pPr>
  </w:style>
  <w:style w:type="paragraph" w:styleId="6">
    <w:name w:val="Plain Text"/>
    <w:basedOn w:val="1"/>
    <w:next w:val="1"/>
    <w:link w:val="10"/>
    <w:uiPriority w:val="0"/>
    <w:rPr>
      <w:rFonts w:ascii="宋体" w:hAnsi="宋体" w:cs="Courier New"/>
      <w:sz w:val="28"/>
      <w:szCs w:val="21"/>
    </w:rPr>
  </w:style>
  <w:style w:type="character" w:customStyle="1" w:styleId="9">
    <w:name w:val="标题 1 Char"/>
    <w:link w:val="4"/>
    <w:qFormat/>
    <w:uiPriority w:val="0"/>
    <w:rPr>
      <w:rFonts w:ascii="Times New Roman" w:hAnsi="Times New Roman" w:eastAsia="黑体" w:cs="Times New Roman"/>
      <w:b/>
      <w:bCs/>
      <w:kern w:val="44"/>
      <w:sz w:val="32"/>
      <w:szCs w:val="44"/>
      <w:lang w:val="en-US" w:eastAsia="zh-CN" w:bidi="ar-SA"/>
    </w:rPr>
  </w:style>
  <w:style w:type="character" w:customStyle="1" w:styleId="10">
    <w:name w:val="纯文本 Char"/>
    <w:link w:val="6"/>
    <w:qFormat/>
    <w:uiPriority w:val="0"/>
    <w:rPr>
      <w:rFonts w:ascii="宋体" w:hAnsi="宋体" w:eastAsia="黑体" w:cs="Courier New"/>
      <w:kern w:val="2"/>
      <w:sz w:val="28"/>
      <w:szCs w:val="21"/>
      <w:lang w:val="en-US" w:eastAsia="zh-CN" w:bidi="ar-SA"/>
    </w:rPr>
  </w:style>
  <w:style w:type="paragraph" w:customStyle="1" w:styleId="11">
    <w:name w:val="Char Char Char3"/>
    <w:basedOn w:val="1"/>
    <w:qFormat/>
    <w:uiPriority w:val="0"/>
    <w:pPr>
      <w:widowControl/>
      <w:suppressAutoHyphens w:val="0"/>
      <w:spacing w:after="160" w:line="240" w:lineRule="exact"/>
      <w:jc w:val="left"/>
    </w:pPr>
    <w:rPr>
      <w:rFonts w:ascii="Verdana" w:hAnsi="Verdana"/>
      <w:kern w:val="0"/>
      <w:sz w:val="20"/>
      <w:szCs w:val="20"/>
      <w:lang w:eastAsia="en-US"/>
    </w:rPr>
  </w:style>
  <w:style w:type="paragraph" w:customStyle="1" w:styleId="12">
    <w:name w:val="Default"/>
    <w:next w:val="5"/>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3">
    <w:name w:val="段"/>
    <w:basedOn w:val="1"/>
    <w:next w:val="1"/>
    <w:qFormat/>
    <w:uiPriority w:val="0"/>
    <w:pPr>
      <w:widowControl/>
      <w:autoSpaceDE w:val="0"/>
      <w:autoSpaceDN w:val="0"/>
      <w:adjustRightInd w:val="0"/>
      <w:snapToGrid w:val="0"/>
      <w:spacing w:line="360" w:lineRule="auto"/>
      <w:ind w:firstLine="200" w:firstLineChars="200"/>
    </w:pPr>
    <w:rPr>
      <w:rFonts w:ascii="宋体" w:hAnsi="宋体" w:cs="宋体"/>
      <w:kern w:val="0"/>
      <w:sz w:val="24"/>
    </w:rPr>
  </w:style>
  <w:style w:type="paragraph" w:customStyle="1" w:styleId="14">
    <w:name w:val="表中小四"/>
    <w:basedOn w:val="1"/>
    <w:qFormat/>
    <w:uiPriority w:val="0"/>
    <w:pPr>
      <w:widowControl/>
      <w:jc w:val="center"/>
    </w:pPr>
    <w:rPr>
      <w:rFonts w:ascii="Calibri" w:hAnsi="Calibri" w:eastAsia="宋体-简"/>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9262</Words>
  <Characters>9662</Characters>
  <Lines>0</Lines>
  <Paragraphs>0</Paragraphs>
  <TotalTime>40</TotalTime>
  <ScaleCrop>false</ScaleCrop>
  <LinksUpToDate>false</LinksUpToDate>
  <CharactersWithSpaces>9690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2024-06-07T08:58:00Z</dcterms:created>
  <dc:creator>HUAWEI</dc:creator>
  <cp:lastModifiedBy>Administrator</cp:lastModifiedBy>
  <dcterms:modified xsi:type="dcterms:W3CDTF">2024-12-10T17:28:58Z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780685585061462E839267233AE3B2F1_13</vt:lpwstr>
  </property>
</Properties>
</file>